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adjustRightInd/>
        <w:snapToGrid/>
        <w:ind w:firstLine="482"/>
        <w:rPr>
          <w:b/>
          <w:bCs/>
          <w:color w:val="000000"/>
          <w:kern w:val="0"/>
          <w:lang w:bidi="ar"/>
        </w:rPr>
      </w:pPr>
      <w:r>
        <w:rPr>
          <w:rFonts w:hint="eastAsia"/>
          <w:b/>
          <w:bCs/>
          <w:color w:val="000000"/>
          <w:kern w:val="0"/>
          <w:lang w:bidi="ar"/>
        </w:rPr>
        <w:t>本项目产生的猪粪、猪尿</w:t>
      </w:r>
      <w:r>
        <w:rPr>
          <w:rFonts w:hint="eastAsia"/>
          <w:b/>
          <w:bCs/>
          <w:color w:val="000000"/>
          <w:kern w:val="0"/>
          <w:lang w:eastAsia="zh-CN" w:bidi="ar"/>
        </w:rPr>
        <w:t>、</w:t>
      </w:r>
      <w:r>
        <w:rPr>
          <w:rFonts w:hint="eastAsia"/>
          <w:b/>
          <w:bCs/>
          <w:color w:val="000000"/>
          <w:kern w:val="0"/>
          <w:lang w:val="en-US" w:eastAsia="zh-CN" w:bidi="ar"/>
        </w:rPr>
        <w:t>养殖废水</w:t>
      </w:r>
      <w:r>
        <w:rPr>
          <w:rFonts w:hint="eastAsia"/>
          <w:b/>
          <w:bCs/>
          <w:color w:val="000000"/>
          <w:kern w:val="0"/>
          <w:lang w:bidi="ar"/>
        </w:rPr>
        <w:t>采用堆肥技术进行堆肥处理，得到有机肥异地消纳。</w:t>
      </w:r>
    </w:p>
    <w:p>
      <w:pPr>
        <w:keepNext/>
        <w:keepLines/>
        <w:adjustRightInd/>
        <w:snapToGrid/>
        <w:ind w:firstLine="482"/>
        <w:rPr>
          <w:color w:val="000000"/>
          <w:kern w:val="0"/>
          <w:lang w:bidi="ar"/>
        </w:rPr>
      </w:pPr>
      <w:r>
        <w:rPr>
          <w:rFonts w:hint="eastAsia"/>
          <w:b/>
          <w:bCs/>
          <w:color w:val="000000"/>
          <w:kern w:val="0"/>
          <w:lang w:bidi="ar"/>
        </w:rPr>
        <w:t>1、工艺流程图</w:t>
      </w:r>
    </w:p>
    <w:p>
      <w:pPr>
        <w:pStyle w:val="2"/>
        <w:adjustRightInd/>
        <w:snapToGrid/>
        <w:ind w:firstLine="480"/>
        <w:rPr>
          <w:kern w:val="0"/>
          <w:szCs w:val="24"/>
          <w:lang w:bidi="ar"/>
        </w:rPr>
      </w:pPr>
      <w:r>
        <w:rPr>
          <w:rFonts w:hint="eastAsia"/>
          <w:kern w:val="0"/>
          <w:szCs w:val="24"/>
          <w:lang w:bidi="ar"/>
        </w:rPr>
        <w:t>本项目配套建设有机肥生产线，用于处理项目生猪产生的粪便及尿液。</w:t>
      </w:r>
    </w:p>
    <w:p>
      <w:pPr>
        <w:pStyle w:val="2"/>
        <w:ind w:firstLine="0" w:firstLineChars="0"/>
        <w:jc w:val="center"/>
        <w:rPr>
          <w:rFonts w:hint="eastAsia" w:eastAsia="宋体"/>
          <w:lang w:eastAsia="zh-CN"/>
        </w:rPr>
      </w:pPr>
      <w:r>
        <w:rPr>
          <w:rFonts w:hint="eastAsia" w:eastAsia="宋体"/>
          <w:lang w:eastAsia="zh-CN"/>
        </w:rPr>
        <w:object>
          <v:shape id="_x0000_i1025" o:spt="75" type="#_x0000_t75" style="height:360pt;width:362.4pt;" o:ole="t" filled="f" o:preferrelative="t" stroked="f" coordsize="21600,21600">
            <v:path/>
            <v:fill on="f" focussize="0,0"/>
            <v:stroke on="f"/>
            <v:imagedata r:id="rId7" o:title=""/>
            <o:lock v:ext="edit" aspectratio="t"/>
            <w10:wrap type="none"/>
            <w10:anchorlock/>
          </v:shape>
          <o:OLEObject Type="Embed" ProgID="Visio.Drawing.15" ShapeID="_x0000_i1025" DrawAspect="Content" ObjectID="_1468075725" r:id="rId6">
            <o:LockedField>false</o:LockedField>
          </o:OLEObject>
        </w:object>
      </w:r>
    </w:p>
    <w:p>
      <w:pPr>
        <w:widowControl/>
        <w:adjustRightInd/>
        <w:snapToGrid/>
        <w:spacing w:before="156" w:beforeLines="50" w:line="240" w:lineRule="auto"/>
        <w:ind w:firstLine="0" w:firstLineChars="0"/>
        <w:jc w:val="center"/>
        <w:rPr>
          <w:b/>
          <w:bCs/>
          <w:color w:val="000000"/>
          <w:kern w:val="0"/>
          <w:sz w:val="21"/>
          <w:szCs w:val="21"/>
          <w:lang w:bidi="ar"/>
        </w:rPr>
      </w:pPr>
      <w:r>
        <w:rPr>
          <w:rFonts w:hint="eastAsia"/>
          <w:b/>
          <w:bCs/>
          <w:color w:val="000000"/>
          <w:kern w:val="0"/>
          <w:sz w:val="21"/>
          <w:szCs w:val="21"/>
          <w:lang w:bidi="ar"/>
        </w:rPr>
        <w:t>图 3-</w:t>
      </w:r>
      <w:r>
        <w:rPr>
          <w:rFonts w:hint="eastAsia"/>
          <w:b/>
          <w:bCs/>
          <w:color w:val="000000"/>
          <w:kern w:val="0"/>
          <w:sz w:val="21"/>
          <w:szCs w:val="21"/>
          <w:lang w:val="en-US" w:eastAsia="zh-CN" w:bidi="ar"/>
        </w:rPr>
        <w:t>9</w:t>
      </w:r>
      <w:r>
        <w:rPr>
          <w:rFonts w:hint="eastAsia"/>
          <w:b/>
          <w:bCs/>
          <w:color w:val="000000"/>
          <w:kern w:val="0"/>
          <w:sz w:val="21"/>
          <w:szCs w:val="21"/>
          <w:lang w:bidi="ar"/>
        </w:rPr>
        <w:t xml:space="preserve"> 本项目有机肥生产工艺及产污节点示意图</w:t>
      </w:r>
    </w:p>
    <w:p>
      <w:pPr>
        <w:pStyle w:val="16"/>
        <w:adjustRightInd/>
        <w:spacing w:line="360" w:lineRule="auto"/>
        <w:ind w:firstLine="482" w:firstLineChars="200"/>
        <w:rPr>
          <w:rFonts w:ascii="Times New Roman" w:cs="Times New Roman"/>
          <w:b/>
          <w:bCs/>
        </w:rPr>
      </w:pPr>
      <w:r>
        <w:rPr>
          <w:rFonts w:ascii="Times New Roman" w:cs="Times New Roman"/>
          <w:b/>
          <w:bCs/>
        </w:rPr>
        <w:t>2、工艺流程简述</w:t>
      </w:r>
    </w:p>
    <w:p>
      <w:pPr>
        <w:pStyle w:val="16"/>
        <w:adjustRightInd/>
        <w:spacing w:line="360" w:lineRule="auto"/>
        <w:ind w:firstLine="482" w:firstLineChars="200"/>
        <w:rPr>
          <w:rFonts w:ascii="Times New Roman" w:cs="Times New Roman"/>
          <w:b/>
          <w:bCs/>
        </w:rPr>
      </w:pPr>
      <w:r>
        <w:rPr>
          <w:rFonts w:ascii="Times New Roman" w:cs="Times New Roman"/>
          <w:b/>
          <w:bCs/>
        </w:rPr>
        <w:t>（1）固态有机肥</w:t>
      </w:r>
    </w:p>
    <w:p>
      <w:pPr>
        <w:pStyle w:val="16"/>
        <w:adjustRightInd/>
        <w:spacing w:line="360" w:lineRule="auto"/>
        <w:ind w:firstLine="482" w:firstLineChars="200"/>
        <w:rPr>
          <w:rFonts w:ascii="Times New Roman" w:cs="Times New Roman"/>
        </w:rPr>
      </w:pPr>
      <w:r>
        <w:rPr>
          <w:rFonts w:ascii="Times New Roman" w:cs="Times New Roman"/>
          <w:b/>
          <w:bCs/>
        </w:rPr>
        <w:t>1）配料混合：</w:t>
      </w:r>
      <w:r>
        <w:rPr>
          <w:rFonts w:ascii="Times New Roman" w:cs="Times New Roman"/>
        </w:rPr>
        <w:t>将各种原料按照配方要求进行配比，配好的原料通过斗式提升机送入双螺旋搅拌机进行充分搅拌混合。</w:t>
      </w:r>
    </w:p>
    <w:p>
      <w:pPr>
        <w:pStyle w:val="16"/>
        <w:adjustRightInd/>
        <w:spacing w:line="360" w:lineRule="auto"/>
        <w:ind w:firstLine="480" w:firstLineChars="200"/>
        <w:rPr>
          <w:rFonts w:hint="eastAsia" w:ascii="Times New Roman" w:hAnsi="Times New Roman" w:cs="Times New Roman"/>
          <w:color w:val="auto"/>
          <w:lang w:val="en-US" w:eastAsia="zh-CN"/>
        </w:rPr>
      </w:pPr>
      <w:r>
        <w:rPr>
          <w:rFonts w:hint="eastAsia"/>
          <w:color w:val="auto"/>
        </w:rPr>
        <w:t>①</w:t>
      </w:r>
      <w:r>
        <w:rPr>
          <w:color w:val="auto"/>
        </w:rPr>
        <w:t>本项目</w:t>
      </w:r>
      <w:r>
        <w:rPr>
          <w:rFonts w:hint="eastAsia"/>
          <w:color w:val="auto"/>
        </w:rPr>
        <w:t>有机肥生产所用主要原料来源于本项目</w:t>
      </w:r>
      <w:r>
        <w:rPr>
          <w:rFonts w:hint="eastAsia"/>
          <w:color w:val="auto"/>
          <w:lang w:val="en-US" w:eastAsia="zh-CN"/>
        </w:rPr>
        <w:t>生猪排泄</w:t>
      </w:r>
      <w:r>
        <w:rPr>
          <w:rFonts w:hint="eastAsia"/>
          <w:color w:val="auto"/>
        </w:rPr>
        <w:t>的猪粪，项目猪粪产生量约为</w:t>
      </w:r>
      <w:r>
        <w:rPr>
          <w:rFonts w:hint="default" w:ascii="Times New Roman" w:hAnsi="Times New Roman" w:cs="Times New Roman"/>
          <w:color w:val="FF0000"/>
          <w:lang w:val="en-US" w:eastAsia="zh-CN"/>
        </w:rPr>
        <w:t>88.2</w:t>
      </w:r>
      <w:r>
        <w:rPr>
          <w:rFonts w:hint="default" w:ascii="Times New Roman" w:hAnsi="Times New Roman" w:cs="Times New Roman"/>
          <w:color w:val="FF0000"/>
        </w:rPr>
        <w:t>t/d（</w:t>
      </w:r>
      <w:r>
        <w:rPr>
          <w:rFonts w:hint="default" w:ascii="Times New Roman" w:hAnsi="Times New Roman" w:cs="Times New Roman"/>
          <w:color w:val="FF0000"/>
          <w:lang w:val="en-US" w:eastAsia="zh-CN"/>
        </w:rPr>
        <w:t>32193</w:t>
      </w:r>
      <w:r>
        <w:rPr>
          <w:rFonts w:hint="default" w:ascii="Times New Roman" w:hAnsi="Times New Roman" w:cs="Times New Roman"/>
          <w:color w:val="FF0000"/>
        </w:rPr>
        <w:t>t/a）</w:t>
      </w:r>
      <w:r>
        <w:rPr>
          <w:rFonts w:hint="eastAsia" w:ascii="Times New Roman" w:cs="Times New Roman"/>
          <w:color w:val="auto"/>
          <w:lang w:eastAsia="zh-CN"/>
        </w:rPr>
        <w:t>，</w:t>
      </w:r>
      <w:r>
        <w:rPr>
          <w:rFonts w:hint="eastAsia" w:ascii="Times New Roman" w:cs="Times New Roman"/>
          <w:color w:val="FF0000"/>
          <w:lang w:val="en-US" w:eastAsia="zh-CN"/>
        </w:rPr>
        <w:t>含水率为75%</w:t>
      </w:r>
      <w:r>
        <w:rPr>
          <w:rFonts w:hint="eastAsia"/>
          <w:color w:val="auto"/>
        </w:rPr>
        <w:t>，有机肥车间使用的发酵基质以谷壳、锯末为原料，粪污与发酵基两者质量比</w:t>
      </w:r>
      <w:r>
        <w:rPr>
          <w:rFonts w:hint="default" w:ascii="Times New Roman" w:hAnsi="Times New Roman" w:cs="Times New Roman"/>
          <w:color w:val="auto"/>
        </w:rPr>
        <w:t>为</w:t>
      </w:r>
      <w:r>
        <w:rPr>
          <w:rFonts w:hint="default" w:ascii="Times New Roman" w:hAnsi="Times New Roman" w:cs="Times New Roman"/>
          <w:color w:val="FF0000"/>
        </w:rPr>
        <w:t>6:</w:t>
      </w:r>
      <w:r>
        <w:rPr>
          <w:rFonts w:hint="eastAsia" w:ascii="Times New Roman" w:cs="Times New Roman"/>
          <w:color w:val="FF0000"/>
          <w:lang w:val="en-US" w:eastAsia="zh-CN"/>
        </w:rPr>
        <w:t>4</w:t>
      </w:r>
      <w:r>
        <w:rPr>
          <w:rFonts w:hint="default" w:ascii="Times New Roman" w:hAnsi="Times New Roman" w:cs="Times New Roman"/>
          <w:color w:val="auto"/>
        </w:rPr>
        <w:t>。</w:t>
      </w:r>
      <w:r>
        <w:rPr>
          <w:rFonts w:hint="eastAsia" w:ascii="Times New Roman" w:hAnsi="Times New Roman" w:cs="Times New Roman"/>
          <w:color w:val="auto"/>
          <w:lang w:val="en-US" w:eastAsia="zh-CN"/>
        </w:rPr>
        <w:t>粪污和发酵基质物料总量约为</w:t>
      </w:r>
      <w:r>
        <w:rPr>
          <w:rFonts w:hint="eastAsia" w:ascii="Times New Roman" w:cs="Times New Roman"/>
          <w:color w:val="FF0000"/>
          <w:lang w:val="en-US" w:eastAsia="zh-CN"/>
        </w:rPr>
        <w:t>147</w:t>
      </w:r>
      <w:r>
        <w:rPr>
          <w:rFonts w:hint="eastAsia" w:ascii="Times New Roman" w:hAnsi="Times New Roman" w:cs="Times New Roman"/>
          <w:color w:val="FF0000"/>
          <w:lang w:val="en-US" w:eastAsia="zh-CN"/>
        </w:rPr>
        <w:t>t/d（</w:t>
      </w:r>
      <w:r>
        <w:rPr>
          <w:rFonts w:hint="eastAsia" w:ascii="Times New Roman" w:cs="Times New Roman"/>
          <w:color w:val="FF0000"/>
          <w:lang w:val="en-US" w:eastAsia="zh-CN"/>
        </w:rPr>
        <w:t>53655</w:t>
      </w:r>
      <w:r>
        <w:rPr>
          <w:rFonts w:hint="eastAsia" w:ascii="Times New Roman" w:hAnsi="Times New Roman" w:cs="Times New Roman"/>
          <w:color w:val="FF0000"/>
          <w:lang w:val="en-US" w:eastAsia="zh-CN"/>
        </w:rPr>
        <w:t>t/a）</w:t>
      </w:r>
      <w:r>
        <w:rPr>
          <w:rFonts w:hint="eastAsia" w:ascii="Times New Roman" w:hAnsi="Times New Roman" w:cs="Times New Roman"/>
          <w:color w:val="auto"/>
          <w:lang w:val="en-US" w:eastAsia="zh-CN"/>
        </w:rPr>
        <w:t>。</w:t>
      </w:r>
    </w:p>
    <w:p>
      <w:pPr>
        <w:pStyle w:val="16"/>
        <w:adjustRightInd/>
        <w:spacing w:line="360" w:lineRule="auto"/>
        <w:ind w:firstLine="480" w:firstLineChars="200"/>
        <w:jc w:val="both"/>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有机肥车间使用的发酵基质以谷壳、锯末为原料，含水率为</w:t>
      </w:r>
      <w:r>
        <w:rPr>
          <w:rFonts w:hint="eastAsia" w:ascii="Times New Roman" w:cs="Times New Roman"/>
          <w:color w:val="FF0000"/>
          <w:lang w:val="en-US" w:eastAsia="zh-CN"/>
        </w:rPr>
        <w:t>1</w:t>
      </w:r>
      <w:r>
        <w:rPr>
          <w:rFonts w:hint="eastAsia" w:ascii="Times New Roman" w:hAnsi="Times New Roman" w:cs="Times New Roman"/>
          <w:color w:val="FF0000"/>
          <w:lang w:val="en-US" w:eastAsia="zh-CN"/>
        </w:rPr>
        <w:t>0%</w:t>
      </w:r>
      <w:r>
        <w:rPr>
          <w:rFonts w:hint="eastAsia" w:ascii="Times New Roman" w:hAnsi="Times New Roman" w:cs="Times New Roman"/>
          <w:color w:val="auto"/>
          <w:lang w:val="en-US" w:eastAsia="zh-CN"/>
        </w:rPr>
        <w:t>，粪污与发酵基两者质量比为</w:t>
      </w:r>
      <w:r>
        <w:rPr>
          <w:rFonts w:hint="eastAsia" w:ascii="Times New Roman" w:hAnsi="Times New Roman" w:cs="Times New Roman"/>
          <w:color w:val="FF0000"/>
          <w:lang w:val="en-US" w:eastAsia="zh-CN"/>
        </w:rPr>
        <w:t>6:</w:t>
      </w:r>
      <w:r>
        <w:rPr>
          <w:rFonts w:hint="eastAsia" w:ascii="Times New Roman" w:cs="Times New Roman"/>
          <w:color w:val="FF0000"/>
          <w:lang w:val="en-US" w:eastAsia="zh-CN"/>
        </w:rPr>
        <w:t>4</w:t>
      </w:r>
      <w:r>
        <w:rPr>
          <w:rFonts w:hint="eastAsia" w:ascii="Times New Roman" w:hAnsi="Times New Roman" w:cs="Times New Roman"/>
          <w:color w:val="auto"/>
          <w:lang w:val="en-US" w:eastAsia="zh-CN"/>
        </w:rPr>
        <w:t>。根据核算，粪污和发酵基质物料总量为</w:t>
      </w:r>
      <w:r>
        <w:rPr>
          <w:rFonts w:hint="eastAsia" w:ascii="Times New Roman" w:cs="Times New Roman"/>
          <w:color w:val="FF0000"/>
          <w:lang w:val="en-US" w:eastAsia="zh-CN"/>
        </w:rPr>
        <w:t>147</w:t>
      </w:r>
      <w:r>
        <w:rPr>
          <w:rFonts w:hint="eastAsia" w:ascii="Times New Roman" w:hAnsi="Times New Roman" w:cs="Times New Roman"/>
          <w:color w:val="FF0000"/>
          <w:lang w:val="en-US" w:eastAsia="zh-CN"/>
        </w:rPr>
        <w:t>t/d（49530.5t/a）</w:t>
      </w:r>
      <w:r>
        <w:rPr>
          <w:rFonts w:hint="eastAsia" w:ascii="Times New Roman" w:hAnsi="Times New Roman" w:cs="Times New Roman"/>
          <w:color w:val="auto"/>
          <w:lang w:val="en-US" w:eastAsia="zh-CN"/>
        </w:rPr>
        <w:t>，发酵基质为</w:t>
      </w:r>
      <w:r>
        <w:rPr>
          <w:rFonts w:hint="eastAsia" w:ascii="Times New Roman" w:cs="Times New Roman"/>
          <w:color w:val="FF0000"/>
          <w:lang w:val="en-US" w:eastAsia="zh-CN"/>
        </w:rPr>
        <w:t>58.8t/d（21462t/a）</w:t>
      </w:r>
      <w:r>
        <w:rPr>
          <w:rFonts w:hint="eastAsia" w:ascii="Times New Roman" w:hAnsi="Times New Roman" w:cs="Times New Roman"/>
          <w:color w:val="auto"/>
          <w:lang w:val="en-US" w:eastAsia="zh-CN"/>
        </w:rPr>
        <w:t>。根据谷壳和锯末比例，计算原料混合后含水率为</w:t>
      </w:r>
      <w:r>
        <w:rPr>
          <w:rFonts w:hint="eastAsia" w:ascii="Times New Roman" w:cs="Times New Roman"/>
          <w:color w:val="FF0000"/>
          <w:lang w:val="en-US" w:eastAsia="zh-CN"/>
        </w:rPr>
        <w:t>51</w:t>
      </w:r>
      <w:r>
        <w:rPr>
          <w:rFonts w:hint="eastAsia" w:ascii="Times New Roman" w:hAnsi="Times New Roman" w:cs="Times New Roman"/>
          <w:color w:val="FF0000"/>
          <w:lang w:val="en-US" w:eastAsia="zh-CN"/>
        </w:rPr>
        <w:t>%</w:t>
      </w:r>
      <w:r>
        <w:rPr>
          <w:rFonts w:hint="eastAsia" w:ascii="Times New Roman" w:hAnsi="Times New Roman" w:cs="Times New Roman"/>
          <w:color w:val="auto"/>
          <w:lang w:val="en-US" w:eastAsia="zh-CN"/>
        </w:rPr>
        <w:t>。</w:t>
      </w:r>
    </w:p>
    <w:p>
      <w:pPr>
        <w:pStyle w:val="16"/>
        <w:adjustRightInd/>
        <w:spacing w:line="360" w:lineRule="auto"/>
        <w:ind w:firstLine="480" w:firstLineChars="20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③原料混合后，加水进行水量调整在含水率60%-65%，才能满足好氧发酵时需要原料中含水率，项目原料混合后含水率为</w:t>
      </w:r>
      <w:r>
        <w:rPr>
          <w:rFonts w:hint="eastAsia" w:ascii="Times New Roman" w:cs="Times New Roman"/>
          <w:color w:val="FF0000"/>
          <w:lang w:val="en-US" w:eastAsia="zh-CN"/>
        </w:rPr>
        <w:t>51</w:t>
      </w:r>
      <w:r>
        <w:rPr>
          <w:rFonts w:hint="eastAsia" w:ascii="Times New Roman" w:hAnsi="Times New Roman" w:cs="Times New Roman"/>
          <w:color w:val="FF0000"/>
          <w:lang w:val="en-US" w:eastAsia="zh-CN"/>
        </w:rPr>
        <w:t>%</w:t>
      </w:r>
      <w:r>
        <w:rPr>
          <w:rFonts w:hint="eastAsia" w:ascii="Times New Roman" w:hAnsi="Times New Roman" w:cs="Times New Roman"/>
          <w:color w:val="auto"/>
          <w:lang w:val="en-US" w:eastAsia="zh-CN"/>
        </w:rPr>
        <w:t>，因此配料混合后还需要加入一定量的补充水，项目猪舍产生猪尿作为补充水后总含水率为</w:t>
      </w:r>
      <w:r>
        <w:rPr>
          <w:rFonts w:hint="eastAsia" w:ascii="Times New Roman" w:hAnsi="Times New Roman" w:cs="Times New Roman"/>
          <w:color w:val="FF0000"/>
          <w:lang w:val="en-US" w:eastAsia="zh-CN"/>
        </w:rPr>
        <w:t>65%</w:t>
      </w:r>
      <w:r>
        <w:rPr>
          <w:rFonts w:hint="eastAsia" w:ascii="Times New Roman" w:hAnsi="Times New Roman" w:cs="Times New Roman"/>
          <w:color w:val="auto"/>
          <w:lang w:val="en-US" w:eastAsia="zh-CN"/>
        </w:rPr>
        <w:t>，可达到原料混合后含水率要求。则每天需要补充水量</w:t>
      </w:r>
      <w:r>
        <w:rPr>
          <w:rFonts w:hint="eastAsia" w:ascii="Times New Roman" w:cs="Times New Roman"/>
          <w:color w:val="FF0000"/>
          <w:lang w:val="en-US" w:eastAsia="zh-CN"/>
        </w:rPr>
        <w:t>67.2</w:t>
      </w:r>
      <w:r>
        <w:rPr>
          <w:rFonts w:hint="eastAsia" w:ascii="Times New Roman" w:hAnsi="Times New Roman" w:cs="Times New Roman"/>
          <w:color w:val="FF0000"/>
          <w:lang w:val="en-US" w:eastAsia="zh-CN"/>
        </w:rPr>
        <w:t>t/d（</w:t>
      </w:r>
      <w:r>
        <w:rPr>
          <w:rFonts w:hint="eastAsia" w:ascii="Times New Roman" w:cs="Times New Roman"/>
          <w:color w:val="FF0000"/>
          <w:lang w:val="en-US" w:eastAsia="zh-CN"/>
        </w:rPr>
        <w:t>24528</w:t>
      </w:r>
      <w:r>
        <w:rPr>
          <w:rFonts w:hint="eastAsia" w:ascii="Times New Roman" w:hAnsi="Times New Roman" w:cs="Times New Roman"/>
          <w:color w:val="FF0000"/>
          <w:lang w:val="en-US" w:eastAsia="zh-CN"/>
        </w:rPr>
        <w:t>t/a）</w:t>
      </w:r>
      <w:r>
        <w:rPr>
          <w:rFonts w:hint="eastAsia" w:ascii="Times New Roman" w:cs="Times New Roman"/>
          <w:color w:val="auto"/>
          <w:lang w:val="en-US" w:eastAsia="zh-CN"/>
        </w:rPr>
        <w:t>，本项目有机肥配料用水来源于尿液发酵池猪尿，则固态有机肥每日入槽粪污量约</w:t>
      </w:r>
      <w:r>
        <w:rPr>
          <w:rFonts w:hint="eastAsia" w:ascii="Times New Roman" w:cs="Times New Roman"/>
          <w:color w:val="FF0000"/>
          <w:lang w:val="en-US" w:eastAsia="zh-CN"/>
        </w:rPr>
        <w:t>214.2t/d</w:t>
      </w:r>
      <w:r>
        <w:rPr>
          <w:rFonts w:hint="eastAsia" w:ascii="Times New Roman" w:hAnsi="Times New Roman" w:cs="Times New Roman"/>
          <w:color w:val="auto"/>
          <w:lang w:val="en-US" w:eastAsia="zh-CN"/>
        </w:rPr>
        <w:t>。</w:t>
      </w:r>
    </w:p>
    <w:p>
      <w:pPr>
        <w:pStyle w:val="16"/>
        <w:adjustRightInd/>
        <w:spacing w:line="360" w:lineRule="auto"/>
        <w:ind w:firstLine="480" w:firstLineChars="200"/>
        <w:rPr>
          <w:rFonts w:hint="eastAsia" w:ascii="Times New Roman" w:cs="Times New Roman"/>
          <w:color w:val="auto"/>
        </w:rPr>
      </w:pPr>
      <w:r>
        <w:rPr>
          <w:rFonts w:hint="eastAsia" w:ascii="Times New Roman" w:cs="Times New Roman"/>
          <w:color w:val="auto"/>
          <w:lang w:val="en-US" w:eastAsia="zh-CN"/>
        </w:rPr>
        <w:t>④</w:t>
      </w:r>
      <w:r>
        <w:rPr>
          <w:rFonts w:ascii="Times New Roman" w:cs="Times New Roman"/>
          <w:color w:val="auto"/>
        </w:rPr>
        <w:t>原料配料原理为物理配料，双螺旋搅拌机利用一对有搅拌叶的螺旋轴的同步旋转搅拌混合</w:t>
      </w:r>
      <w:r>
        <w:rPr>
          <w:rFonts w:hint="eastAsia" w:ascii="Times New Roman" w:cs="Times New Roman"/>
          <w:color w:val="auto"/>
        </w:rPr>
        <w:t>，</w:t>
      </w:r>
      <w:r>
        <w:rPr>
          <w:rFonts w:ascii="Times New Roman" w:cs="Times New Roman"/>
          <w:color w:val="auto"/>
        </w:rPr>
        <w:t>为半封闭结构，由于原料含水率较高，因此配料混合过程会产生恶臭气体和少量粉尘。混合搅拌均匀后直接泄放进入发酵槽中</w:t>
      </w:r>
      <w:r>
        <w:rPr>
          <w:rFonts w:hint="eastAsia" w:ascii="Times New Roman" w:cs="Times New Roman"/>
          <w:color w:val="auto"/>
        </w:rPr>
        <w:t>。</w:t>
      </w:r>
    </w:p>
    <w:p>
      <w:pPr>
        <w:adjustRightInd/>
        <w:snapToGrid/>
        <w:ind w:firstLine="482"/>
        <w:textAlignment w:val="auto"/>
        <w:rPr>
          <w:color w:val="000000"/>
          <w:kern w:val="0"/>
          <w:lang w:bidi="ar"/>
        </w:rPr>
      </w:pPr>
      <w:r>
        <w:rPr>
          <w:rFonts w:hint="eastAsia"/>
          <w:b/>
          <w:bCs/>
        </w:rPr>
        <w:t>2）</w:t>
      </w:r>
      <w:r>
        <w:rPr>
          <w:b/>
          <w:bCs/>
        </w:rPr>
        <w:t>发酵：</w:t>
      </w:r>
      <w:r>
        <w:rPr>
          <w:rFonts w:hint="eastAsia"/>
          <w:color w:val="000000"/>
          <w:kern w:val="0"/>
          <w:lang w:bidi="ar"/>
        </w:rPr>
        <w:t>堆肥发酵车间分割为多个发酵槽，发酵槽建设依据实际堆肥发酵要求建设。项目发酵工艺采用好氧发酵，好氧发酵是在通气条件好，氧气充足的条件下，好氧菌对废物进行吸收、氧化以及分解的过程。好氧微生物通过自身的生命活动，把一部分被吸收的有机物氧化成简单的无机物，同时释放可供微生物生长活动所需的能量，而另一部分有机物则被合成新的细胞质，使生物不断生长繁殖，产生出更多生物体。</w:t>
      </w:r>
    </w:p>
    <w:p>
      <w:pPr>
        <w:pStyle w:val="16"/>
        <w:adjustRightInd/>
        <w:spacing w:line="360" w:lineRule="auto"/>
        <w:ind w:firstLine="480" w:firstLineChars="200"/>
        <w:rPr>
          <w:rFonts w:ascii="Times New Roman" w:cs="Times New Roman"/>
        </w:rPr>
      </w:pPr>
      <w:r>
        <w:rPr>
          <w:rFonts w:hint="eastAsia" w:ascii="Times New Roman" w:cs="Times New Roman"/>
          <w:lang w:bidi="ar"/>
        </w:rPr>
        <w:t>靠槽下部曝气管强制通风和翻堆时物料与空气接触提供氧气进行</w:t>
      </w:r>
      <w:r>
        <w:rPr>
          <w:rFonts w:hint="eastAsia" w:ascii="Times New Roman" w:cs="Times New Roman"/>
          <w:color w:val="FF0000"/>
          <w:lang w:bidi="ar"/>
        </w:rPr>
        <w:t>连续好氧发酵周期约7d</w:t>
      </w:r>
      <w:r>
        <w:rPr>
          <w:rFonts w:hint="eastAsia" w:ascii="Times New Roman" w:cs="Times New Roman"/>
          <w:lang w:bidi="ar"/>
        </w:rPr>
        <w:t>。堆肥1~2天即可升温，期间每天翻堆一次；待温度达到55</w:t>
      </w:r>
      <w:r>
        <w:rPr>
          <w:rFonts w:ascii="Times New Roman" w:cs="Times New Roman"/>
          <w:lang w:bidi="ar"/>
        </w:rPr>
        <w:t>℃</w:t>
      </w:r>
      <w:r>
        <w:rPr>
          <w:rFonts w:hint="eastAsia" w:ascii="Times New Roman" w:cs="Times New Roman"/>
          <w:lang w:bidi="ar"/>
        </w:rPr>
        <w:t>时每天翻堆一次；当温度高于65</w:t>
      </w:r>
      <w:r>
        <w:rPr>
          <w:rFonts w:ascii="Times New Roman" w:cs="Times New Roman"/>
          <w:lang w:bidi="ar"/>
        </w:rPr>
        <w:t>℃</w:t>
      </w:r>
      <w:r>
        <w:rPr>
          <w:rFonts w:hint="eastAsia" w:ascii="Times New Roman" w:cs="Times New Roman"/>
          <w:lang w:bidi="ar"/>
        </w:rPr>
        <w:t>时每天翻堆两次。翻堆是通过翻抛机实现的，翻抛过程中投加草木灰与原料均匀混合以增加有机肥中的钾含量和调节pH，由于原料湿度大，草木灰可以快速的与原料结合，翻抛过程中产生的粉尘量很小</w:t>
      </w:r>
      <w:r>
        <w:rPr>
          <w:rFonts w:ascii="Times New Roman" w:cs="Times New Roman"/>
        </w:rPr>
        <w:t>。</w:t>
      </w:r>
    </w:p>
    <w:p>
      <w:pPr>
        <w:pStyle w:val="16"/>
        <w:adjustRightInd/>
        <w:spacing w:line="360" w:lineRule="auto"/>
        <w:ind w:firstLine="482" w:firstLineChars="200"/>
        <w:rPr>
          <w:rFonts w:ascii="Times New Roman" w:cs="Times New Roman"/>
        </w:rPr>
      </w:pPr>
      <w:r>
        <w:rPr>
          <w:rFonts w:hint="eastAsia" w:ascii="Times New Roman" w:cs="Times New Roman"/>
          <w:b/>
          <w:bCs/>
        </w:rPr>
        <w:t>3</w:t>
      </w:r>
      <w:r>
        <w:rPr>
          <w:rFonts w:ascii="Times New Roman" w:cs="Times New Roman"/>
          <w:b/>
          <w:bCs/>
        </w:rPr>
        <w:t>）</w:t>
      </w:r>
      <w:r>
        <w:rPr>
          <w:rFonts w:hint="eastAsia" w:ascii="Times New Roman" w:cs="Times New Roman"/>
          <w:b/>
          <w:bCs/>
        </w:rPr>
        <w:t>粉碎</w:t>
      </w:r>
      <w:r>
        <w:rPr>
          <w:rFonts w:ascii="Times New Roman" w:cs="Times New Roman"/>
          <w:b/>
          <w:bCs/>
        </w:rPr>
        <w:t>筛选：</w:t>
      </w:r>
      <w:r>
        <w:rPr>
          <w:rFonts w:ascii="Times New Roman" w:cs="Times New Roman"/>
        </w:rPr>
        <w:t>发酵完成后的物料含水率在30%-</w:t>
      </w:r>
      <w:r>
        <w:rPr>
          <w:rFonts w:hint="eastAsia" w:ascii="Times New Roman" w:cs="Times New Roman"/>
        </w:rPr>
        <w:t>40</w:t>
      </w:r>
      <w:r>
        <w:rPr>
          <w:rFonts w:ascii="Times New Roman" w:cs="Times New Roman"/>
        </w:rPr>
        <w:t>%之间，易结块，因此发酵好的半成品每天从发酵槽出料，通过装载机送至自动给料仓，自动给料机通过</w:t>
      </w:r>
      <w:r>
        <w:rPr>
          <w:rFonts w:hint="eastAsia" w:ascii="Times New Roman" w:cs="Times New Roman"/>
        </w:rPr>
        <w:t>，</w:t>
      </w:r>
      <w:r>
        <w:rPr>
          <w:rFonts w:ascii="Times New Roman" w:cs="Times New Roman"/>
          <w:lang w:bidi="ar"/>
        </w:rPr>
        <w:t>皮带运输机传送到</w:t>
      </w:r>
      <w:r>
        <w:rPr>
          <w:rFonts w:hint="eastAsia" w:ascii="Times New Roman" w:cs="Times New Roman"/>
          <w:lang w:bidi="ar"/>
        </w:rPr>
        <w:t>滚筒筛</w:t>
      </w:r>
      <w:r>
        <w:rPr>
          <w:rFonts w:ascii="Times New Roman" w:cs="Times New Roman"/>
          <w:lang w:bidi="ar"/>
        </w:rPr>
        <w:t>进行</w:t>
      </w:r>
      <w:r>
        <w:rPr>
          <w:rFonts w:hint="eastAsia" w:ascii="Times New Roman" w:cs="Times New Roman"/>
          <w:lang w:bidi="ar"/>
        </w:rPr>
        <w:t>筛分</w:t>
      </w:r>
      <w:r>
        <w:rPr>
          <w:rFonts w:ascii="Times New Roman" w:cs="Times New Roman"/>
          <w:lang w:bidi="ar"/>
        </w:rPr>
        <w:t>，</w:t>
      </w:r>
      <w:r>
        <w:rPr>
          <w:rFonts w:hint="eastAsia"/>
          <w:lang w:bidi="ar"/>
        </w:rPr>
        <w:t>分离的出的筛上物返回重新进行混合和翻抛发酵，</w:t>
      </w:r>
      <w:r>
        <w:rPr>
          <w:rFonts w:hint="eastAsia" w:ascii="Times New Roman" w:cs="Times New Roman"/>
          <w:lang w:bidi="ar"/>
        </w:rPr>
        <w:t>筛下物</w:t>
      </w:r>
      <w:r>
        <w:rPr>
          <w:rFonts w:ascii="Times New Roman" w:cs="Times New Roman"/>
          <w:lang w:bidi="ar"/>
        </w:rPr>
        <w:t>通过皮带机传输到</w:t>
      </w:r>
      <w:r>
        <w:rPr>
          <w:rFonts w:hint="eastAsia" w:ascii="Times New Roman" w:cs="Times New Roman"/>
          <w:lang w:bidi="ar"/>
        </w:rPr>
        <w:t>粉碎机</w:t>
      </w:r>
      <w:r>
        <w:rPr>
          <w:rFonts w:ascii="Times New Roman" w:cs="Times New Roman"/>
          <w:lang w:bidi="ar"/>
        </w:rPr>
        <w:t>进行</w:t>
      </w:r>
      <w:r>
        <w:rPr>
          <w:rFonts w:hint="eastAsia" w:ascii="Times New Roman" w:cs="Times New Roman"/>
          <w:lang w:bidi="ar"/>
        </w:rPr>
        <w:t>粉碎</w:t>
      </w:r>
      <w:r>
        <w:rPr>
          <w:rFonts w:ascii="Times New Roman" w:cs="Times New Roman"/>
          <w:lang w:bidi="ar"/>
        </w:rPr>
        <w:t>，</w:t>
      </w:r>
      <w:r>
        <w:rPr>
          <w:rFonts w:hint="eastAsia" w:ascii="Times New Roman" w:cs="Times New Roman"/>
          <w:lang w:bidi="ar"/>
        </w:rPr>
        <w:t>得到</w:t>
      </w:r>
      <w:r>
        <w:rPr>
          <w:rFonts w:ascii="Times New Roman" w:cs="Times New Roman"/>
          <w:lang w:bidi="ar"/>
        </w:rPr>
        <w:t>粉状成品。</w:t>
      </w:r>
      <w:r>
        <w:rPr>
          <w:rFonts w:ascii="Times New Roman" w:cs="Times New Roman"/>
        </w:rPr>
        <w:t>初级有机肥基本达到稳定状态，初级有机肥通过滚筒筛分机进行筛选，不合格的产品作为原料回用，不外排，合格产品进入混合工序。滚筒筛分机进行筛选过程，初级有机肥温度从35℃逐渐下降到常温22℃，含水率稳定在</w:t>
      </w:r>
      <w:r>
        <w:rPr>
          <w:rFonts w:hint="eastAsia" w:ascii="Times New Roman" w:cs="Times New Roman"/>
        </w:rPr>
        <w:t>35</w:t>
      </w:r>
      <w:r>
        <w:rPr>
          <w:rFonts w:ascii="Times New Roman" w:cs="Times New Roman"/>
        </w:rPr>
        <w:t>%左右。</w:t>
      </w:r>
    </w:p>
    <w:p>
      <w:pPr>
        <w:pStyle w:val="16"/>
        <w:adjustRightInd/>
        <w:spacing w:line="360" w:lineRule="auto"/>
        <w:ind w:firstLine="480" w:firstLineChars="200"/>
        <w:rPr>
          <w:rFonts w:ascii="Times New Roman" w:cs="Times New Roman"/>
        </w:rPr>
      </w:pPr>
      <w:r>
        <w:rPr>
          <w:rFonts w:ascii="Times New Roman" w:cs="Times New Roman"/>
        </w:rPr>
        <w:t>滚筒筛分机为密闭结构，与四仓动态配料机通过传送带连接，传送带为彩钢瓦全密闭</w:t>
      </w:r>
      <w:r>
        <w:rPr>
          <w:rFonts w:hint="eastAsia" w:ascii="Times New Roman" w:cs="Times New Roman"/>
          <w:lang w:val="en-US" w:eastAsia="zh-CN"/>
        </w:rPr>
        <w:t>结构</w:t>
      </w:r>
      <w:r>
        <w:rPr>
          <w:rFonts w:ascii="Times New Roman" w:cs="Times New Roman"/>
        </w:rPr>
        <w:t>，因此筛选过程不会产生粉尘，也无恶臭产生。</w:t>
      </w:r>
    </w:p>
    <w:p>
      <w:pPr>
        <w:pStyle w:val="16"/>
        <w:adjustRightInd/>
        <w:spacing w:line="360" w:lineRule="auto"/>
        <w:ind w:firstLine="482" w:firstLineChars="200"/>
        <w:rPr>
          <w:rFonts w:ascii="Times New Roman" w:cs="Times New Roman"/>
        </w:rPr>
      </w:pPr>
      <w:r>
        <w:rPr>
          <w:rFonts w:hint="eastAsia" w:ascii="Times New Roman" w:cs="Times New Roman"/>
          <w:b/>
          <w:bCs/>
        </w:rPr>
        <w:t>4）</w:t>
      </w:r>
      <w:r>
        <w:rPr>
          <w:rFonts w:ascii="Times New Roman" w:cs="Times New Roman"/>
          <w:b/>
          <w:bCs/>
        </w:rPr>
        <w:t>混合</w:t>
      </w:r>
      <w:r>
        <w:rPr>
          <w:rFonts w:hint="eastAsia" w:ascii="Times New Roman" w:cs="Times New Roman"/>
          <w:b/>
          <w:bCs/>
        </w:rPr>
        <w:t>搅拌</w:t>
      </w:r>
      <w:r>
        <w:rPr>
          <w:rFonts w:ascii="Times New Roman" w:cs="Times New Roman"/>
          <w:b/>
          <w:bCs/>
        </w:rPr>
        <w:t>：</w:t>
      </w:r>
      <w:r>
        <w:rPr>
          <w:rFonts w:ascii="Times New Roman" w:cs="Times New Roman"/>
        </w:rPr>
        <w:t>筛选完成的初级有机肥通过传送带连接至四仓</w:t>
      </w:r>
      <w:r>
        <w:rPr>
          <w:rFonts w:hint="eastAsia" w:ascii="Times New Roman" w:cs="Times New Roman"/>
        </w:rPr>
        <w:t>皮带秤</w:t>
      </w:r>
      <w:r>
        <w:rPr>
          <w:rFonts w:ascii="Times New Roman" w:cs="Times New Roman"/>
        </w:rPr>
        <w:t>配料机，从四仓</w:t>
      </w:r>
      <w:r>
        <w:rPr>
          <w:rFonts w:hint="eastAsia" w:ascii="Times New Roman" w:cs="Times New Roman"/>
        </w:rPr>
        <w:t>皮带秤</w:t>
      </w:r>
      <w:r>
        <w:rPr>
          <w:rFonts w:ascii="Times New Roman" w:cs="Times New Roman"/>
        </w:rPr>
        <w:t>配料机仓斗处加入辅料（生物功能菌、尿素、磷酸一铵、硫酸钾）等，按照比例添加辅料混合后通过四仓</w:t>
      </w:r>
      <w:r>
        <w:rPr>
          <w:rFonts w:hint="eastAsia" w:ascii="Times New Roman" w:cs="Times New Roman"/>
        </w:rPr>
        <w:t>皮带秤</w:t>
      </w:r>
      <w:r>
        <w:rPr>
          <w:rFonts w:ascii="Times New Roman" w:cs="Times New Roman"/>
        </w:rPr>
        <w:t>配料机内部搅拌机搅拌均匀。初级有机肥温度保持常温22℃，含水率稳定在35%左右。</w:t>
      </w:r>
    </w:p>
    <w:p>
      <w:pPr>
        <w:pStyle w:val="16"/>
        <w:adjustRightInd/>
        <w:spacing w:line="360" w:lineRule="auto"/>
        <w:ind w:firstLine="480" w:firstLineChars="200"/>
        <w:rPr>
          <w:rFonts w:ascii="Times New Roman" w:cs="Times New Roman"/>
        </w:rPr>
      </w:pPr>
      <w:r>
        <w:rPr>
          <w:rFonts w:ascii="Times New Roman" w:cs="Times New Roman"/>
        </w:rPr>
        <w:t>四仓</w:t>
      </w:r>
      <w:r>
        <w:rPr>
          <w:rFonts w:hint="eastAsia" w:ascii="Times New Roman" w:cs="Times New Roman"/>
        </w:rPr>
        <w:t>皮带秤</w:t>
      </w:r>
      <w:r>
        <w:rPr>
          <w:rFonts w:ascii="Times New Roman" w:cs="Times New Roman"/>
        </w:rPr>
        <w:t>配料机为密闭结构，出料口设有电子计量电控柜，根据产品需求分别通过传送带连接输送至造粒设备。</w:t>
      </w:r>
    </w:p>
    <w:p>
      <w:pPr>
        <w:pStyle w:val="16"/>
        <w:adjustRightInd/>
        <w:spacing w:line="360" w:lineRule="auto"/>
        <w:ind w:firstLine="482" w:firstLineChars="200"/>
        <w:rPr>
          <w:rFonts w:ascii="Times New Roman" w:cs="Times New Roman"/>
        </w:rPr>
      </w:pPr>
      <w:r>
        <w:rPr>
          <w:rFonts w:hint="eastAsia" w:ascii="Times New Roman" w:cs="Times New Roman"/>
          <w:b/>
          <w:bCs/>
        </w:rPr>
        <w:t>5）</w:t>
      </w:r>
      <w:r>
        <w:rPr>
          <w:rFonts w:ascii="Times New Roman" w:cs="Times New Roman"/>
          <w:b/>
          <w:bCs/>
        </w:rPr>
        <w:t>造粒：</w:t>
      </w:r>
      <w:r>
        <w:rPr>
          <w:rFonts w:ascii="Times New Roman" w:cs="Times New Roman"/>
        </w:rPr>
        <w:t>粉碎后的物料通过密闭皮带输送机送至搅齿造粒机，利用高速回转的机械搅拌力及由此产生的空气动力，使细粉状料在机内连续实现混合，成粒、球化、致密等过程，从而达到造粒的目的。颗粒形状为球形，球形度≥0.7，粒径一般在</w:t>
      </w:r>
      <w:r>
        <w:rPr>
          <w:rFonts w:hint="eastAsia" w:ascii="Times New Roman" w:cs="Times New Roman"/>
        </w:rPr>
        <w:t>1</w:t>
      </w:r>
      <w:r>
        <w:rPr>
          <w:rFonts w:ascii="Times New Roman" w:cs="Times New Roman"/>
        </w:rPr>
        <w:t>-3毫米之间。颗粒状生物有机肥温度保持常温22℃，含水率稳定在35%左右。</w:t>
      </w:r>
    </w:p>
    <w:p>
      <w:pPr>
        <w:pStyle w:val="16"/>
        <w:adjustRightInd/>
        <w:spacing w:line="360" w:lineRule="auto"/>
        <w:ind w:firstLine="480" w:firstLineChars="200"/>
        <w:rPr>
          <w:rFonts w:ascii="Times New Roman" w:cs="Times New Roman"/>
        </w:rPr>
      </w:pPr>
      <w:r>
        <w:rPr>
          <w:rFonts w:ascii="Times New Roman" w:cs="Times New Roman"/>
        </w:rPr>
        <w:t>项目颗粒状生物有机肥造粒机造粒过程会产生粉尘，无恶臭产生。项目在造粒机设备上方设置集气罩，废气经收集后经1套布袋除尘器处理后由1根15m高排气筒（DA00</w:t>
      </w:r>
      <w:r>
        <w:rPr>
          <w:rFonts w:hint="eastAsia" w:ascii="Times New Roman" w:cs="Times New Roman"/>
        </w:rPr>
        <w:t>1</w:t>
      </w:r>
      <w:r>
        <w:rPr>
          <w:rFonts w:ascii="Times New Roman" w:cs="Times New Roman"/>
        </w:rPr>
        <w:t>）排放。</w:t>
      </w:r>
    </w:p>
    <w:p>
      <w:pPr>
        <w:pStyle w:val="16"/>
        <w:adjustRightInd/>
        <w:spacing w:line="360" w:lineRule="auto"/>
        <w:ind w:firstLine="482" w:firstLineChars="200"/>
        <w:rPr>
          <w:rFonts w:ascii="Times New Roman" w:cs="Times New Roman"/>
        </w:rPr>
      </w:pPr>
      <w:r>
        <w:rPr>
          <w:rFonts w:hint="eastAsia" w:ascii="Times New Roman" w:cs="Times New Roman"/>
          <w:b/>
          <w:bCs/>
        </w:rPr>
        <w:t>6</w:t>
      </w:r>
      <w:r>
        <w:rPr>
          <w:rFonts w:ascii="Times New Roman" w:cs="Times New Roman"/>
          <w:b/>
          <w:bCs/>
        </w:rPr>
        <w:t>）烘干：</w:t>
      </w:r>
      <w:r>
        <w:rPr>
          <w:rFonts w:ascii="Times New Roman" w:cs="Times New Roman"/>
        </w:rPr>
        <w:t>造粒后的生物有机肥进入回转烘干机进行干燥。</w:t>
      </w:r>
      <w:r>
        <w:rPr>
          <w:rFonts w:hint="eastAsia" w:hAnsi="宋体"/>
          <w:lang w:bidi="ar"/>
        </w:rPr>
        <w:t>回转烘干机</w:t>
      </w:r>
      <w:r>
        <w:rPr>
          <w:rFonts w:ascii="Times New Roman" w:cs="Times New Roman"/>
        </w:rPr>
        <w:t>主要是由供热源、进料机、回转滚筒、出料机、引风机、卸料器和配电柜构成的烘干设备；该机工作时，物料与热气流顺流从内锥筒的小端进入，被扬料板与热气流进行充分的热交换，同时向大端移动。同理，进入外筒后，物料被勺形扬料板扬起，并均匀地撒落在内锥筒外壁的上部，随筒体慢速回转，物料在环形空间能经历一较长的滞留时间，最后沿筒壁和内筒外壁上的导料板流向出口端，通过翻板阀卸出。烘干采用电热风炉送风，温度控制在50-65℃，使出料含水率控制在28%。干燥后的颗粒状生物有机肥温度5</w:t>
      </w:r>
      <w:r>
        <w:rPr>
          <w:rFonts w:hint="eastAsia" w:ascii="Times New Roman" w:cs="Times New Roman"/>
        </w:rPr>
        <w:t>0</w:t>
      </w:r>
      <w:r>
        <w:rPr>
          <w:rFonts w:ascii="Times New Roman" w:cs="Times New Roman"/>
        </w:rPr>
        <w:t>℃左右。</w:t>
      </w:r>
    </w:p>
    <w:p>
      <w:pPr>
        <w:pStyle w:val="16"/>
        <w:adjustRightInd/>
        <w:spacing w:line="360" w:lineRule="auto"/>
        <w:ind w:firstLine="480" w:firstLineChars="200"/>
        <w:rPr>
          <w:rFonts w:ascii="Times New Roman" w:cs="Times New Roman"/>
        </w:rPr>
      </w:pPr>
      <w:r>
        <w:rPr>
          <w:rFonts w:ascii="Times New Roman" w:cs="Times New Roman"/>
        </w:rPr>
        <w:t>项目颗粒状生物有机肥干燥过程会产生干燥废气，废气经设备排气口排入1套布袋除尘器处理后由1根15m高排气筒（DA00</w:t>
      </w:r>
      <w:r>
        <w:rPr>
          <w:rFonts w:hint="eastAsia" w:ascii="Times New Roman" w:cs="Times New Roman"/>
        </w:rPr>
        <w:t>1</w:t>
      </w:r>
      <w:r>
        <w:rPr>
          <w:rFonts w:ascii="Times New Roman" w:cs="Times New Roman"/>
        </w:rPr>
        <w:t>）排放。</w:t>
      </w:r>
    </w:p>
    <w:p>
      <w:pPr>
        <w:pStyle w:val="16"/>
        <w:adjustRightInd/>
        <w:spacing w:line="360" w:lineRule="auto"/>
        <w:ind w:firstLine="482" w:firstLineChars="200"/>
        <w:rPr>
          <w:rFonts w:ascii="Times New Roman" w:cs="Times New Roman"/>
        </w:rPr>
      </w:pPr>
      <w:r>
        <w:rPr>
          <w:rFonts w:ascii="Times New Roman" w:cs="Times New Roman"/>
          <w:b/>
          <w:bCs/>
        </w:rPr>
        <w:t>9）冷却：</w:t>
      </w:r>
      <w:r>
        <w:rPr>
          <w:rFonts w:ascii="Times New Roman" w:cs="Times New Roman"/>
        </w:rPr>
        <w:t>造粒后的有机肥进入滚筒冷却机进行冷却，冷却方式为空气冷却。冷却机进行冷却过程，颗粒状有机肥温度从50</w:t>
      </w:r>
      <w:r>
        <w:rPr>
          <w:rFonts w:ascii="Times New Roman" w:cs="Times New Roman"/>
          <w:lang w:bidi="ar"/>
        </w:rPr>
        <w:t>℃</w:t>
      </w:r>
      <w:r>
        <w:rPr>
          <w:rFonts w:ascii="Times New Roman" w:cs="Times New Roman"/>
        </w:rPr>
        <w:t>逐渐下降到常温22</w:t>
      </w:r>
      <w:r>
        <w:rPr>
          <w:rFonts w:ascii="Times New Roman" w:cs="Times New Roman"/>
          <w:lang w:bidi="ar"/>
        </w:rPr>
        <w:t>℃</w:t>
      </w:r>
      <w:r>
        <w:rPr>
          <w:rFonts w:ascii="Times New Roman" w:cs="Times New Roman"/>
        </w:rPr>
        <w:t>，含水率稳定在28%左右。冷却后的物料通过皮带输送机送入滚筒式筛分机中，筛去3mm以上物料，筛余物通过皮带输送机返回破碎工序。该过程会产生粉尘和噪声</w:t>
      </w:r>
    </w:p>
    <w:p>
      <w:pPr>
        <w:pStyle w:val="16"/>
        <w:adjustRightInd/>
        <w:spacing w:line="360" w:lineRule="auto"/>
        <w:ind w:firstLine="480" w:firstLineChars="200"/>
        <w:rPr>
          <w:rFonts w:ascii="Times New Roman" w:cs="Times New Roman"/>
        </w:rPr>
      </w:pPr>
      <w:r>
        <w:rPr>
          <w:rFonts w:ascii="Times New Roman" w:cs="Times New Roman"/>
        </w:rPr>
        <w:t>项目颗粒状生物有机肥冷却筛分过程会产生粉尘，无恶臭产生。项目在冷却筛分机设备上方设置废气收集管道，废气经收集后经1套布袋除尘器处理后由1根15m高排气筒（DA001）排放。</w:t>
      </w:r>
    </w:p>
    <w:p>
      <w:pPr>
        <w:pStyle w:val="16"/>
        <w:adjustRightInd/>
        <w:spacing w:line="360" w:lineRule="auto"/>
        <w:ind w:firstLine="482" w:firstLineChars="200"/>
        <w:jc w:val="both"/>
        <w:rPr>
          <w:rFonts w:ascii="Times New Roman" w:cs="Times New Roman"/>
        </w:rPr>
      </w:pPr>
      <w:r>
        <w:rPr>
          <w:rFonts w:hint="eastAsia" w:ascii="Times New Roman" w:cs="Times New Roman"/>
          <w:b/>
          <w:bCs/>
        </w:rPr>
        <w:t>10）</w:t>
      </w:r>
      <w:r>
        <w:rPr>
          <w:rFonts w:ascii="Times New Roman" w:cs="Times New Roman"/>
          <w:b/>
          <w:bCs/>
        </w:rPr>
        <w:t>包装、入库：</w:t>
      </w:r>
      <w:r>
        <w:rPr>
          <w:rFonts w:ascii="Times New Roman" w:cs="Times New Roman"/>
        </w:rPr>
        <w:t>生物有机肥产品检验委托第三方检验机构对生物有机肥产品中有机质、水分等含量是否达到《生物有机肥》（NY884-2012）标准要求，达不到标准要求视为不合格产品；合格颗粒状生物有机肥通过传送带传送至相应的包装机设备进行装袋及封口、入库。</w:t>
      </w:r>
    </w:p>
    <w:p>
      <w:pPr>
        <w:pStyle w:val="16"/>
        <w:adjustRightInd/>
        <w:spacing w:line="360" w:lineRule="auto"/>
        <w:ind w:firstLine="482" w:firstLineChars="200"/>
        <w:rPr>
          <w:rFonts w:ascii="Times New Roman" w:cs="Times New Roman"/>
          <w:b/>
          <w:bCs/>
          <w:color w:val="auto"/>
        </w:rPr>
      </w:pPr>
      <w:r>
        <w:rPr>
          <w:rFonts w:ascii="Times New Roman" w:cs="Times New Roman"/>
          <w:b/>
          <w:bCs/>
          <w:color w:val="auto"/>
        </w:rPr>
        <w:t>（2）液态有机肥</w:t>
      </w:r>
    </w:p>
    <w:p>
      <w:pPr>
        <w:pStyle w:val="16"/>
        <w:adjustRightInd/>
        <w:spacing w:line="360" w:lineRule="auto"/>
        <w:ind w:firstLine="480" w:firstLineChars="200"/>
        <w:rPr>
          <w:rFonts w:ascii="Times New Roman" w:cs="Times New Roman"/>
          <w:color w:val="auto"/>
        </w:rPr>
      </w:pPr>
      <w:r>
        <w:rPr>
          <w:rFonts w:hint="eastAsia" w:ascii="Times New Roman" w:cs="Times New Roman"/>
          <w:color w:val="auto"/>
        </w:rPr>
        <w:t>管网收集各养殖繁育区的尿液集中输送至一级净化池中，加入发酵益生菌进行一级沉淀发酵，后自然流入至二级净化池中进行密闭厌氧发酵，后流入至三级净化池中进行半厌氧发酵，最后流入四级净化池中进行格栅式初级过滤形成半成品液态肥，最后通过设备两次消毒、过滤，添加原素，再经灌装机灌装成品优质液态肥</w:t>
      </w:r>
      <w:r>
        <w:rPr>
          <w:rFonts w:ascii="Times New Roman" w:cs="Times New Roman"/>
          <w:color w:val="auto"/>
        </w:rPr>
        <w:t>。</w:t>
      </w:r>
    </w:p>
    <w:p>
      <w:pPr>
        <w:rPr>
          <w:rFonts w:ascii="Times New Roman" w:cs="Times New Roman"/>
          <w:color w:val="auto"/>
        </w:rPr>
      </w:pPr>
      <w:r>
        <w:rPr>
          <w:rFonts w:ascii="Times New Roman" w:cs="Times New Roman"/>
          <w:color w:val="auto"/>
        </w:rPr>
        <w:t>液态有机肥采用液态自动</w:t>
      </w:r>
      <w:r>
        <w:rPr>
          <w:rFonts w:hint="eastAsia" w:ascii="Times New Roman" w:cs="Times New Roman"/>
          <w:color w:val="auto"/>
        </w:rPr>
        <w:t>灌装</w:t>
      </w:r>
      <w:r>
        <w:rPr>
          <w:rFonts w:ascii="Times New Roman" w:cs="Times New Roman"/>
          <w:color w:val="auto"/>
        </w:rPr>
        <w:t>机进行分装；</w:t>
      </w:r>
      <w:r>
        <w:rPr>
          <w:rFonts w:hint="eastAsia" w:ascii="Times New Roman" w:cs="Times New Roman"/>
          <w:color w:val="auto"/>
        </w:rPr>
        <w:t>过滤</w:t>
      </w:r>
      <w:r>
        <w:rPr>
          <w:rFonts w:ascii="Times New Roman" w:cs="Times New Roman"/>
          <w:color w:val="auto"/>
        </w:rPr>
        <w:t>后得到的残渣进入固态有机肥生产工序中。</w:t>
      </w:r>
    </w:p>
    <w:p>
      <w:pPr>
        <w:pStyle w:val="2"/>
        <w:rPr>
          <w:rFonts w:ascii="Times New Roman" w:cs="Times New Roman"/>
          <w:color w:val="auto"/>
        </w:rPr>
      </w:pPr>
    </w:p>
    <w:p>
      <w:pPr>
        <w:pStyle w:val="2"/>
        <w:rPr>
          <w:rFonts w:ascii="Times New Roman" w:cs="Times New Roman"/>
          <w:color w:val="auto"/>
        </w:rPr>
      </w:pPr>
    </w:p>
    <w:p>
      <w:pPr>
        <w:pStyle w:val="2"/>
        <w:adjustRightInd/>
        <w:snapToGrid/>
        <w:ind w:firstLine="0" w:firstLineChars="0"/>
        <w:outlineLvl w:val="3"/>
        <w:rPr>
          <w:rFonts w:hint="eastAsia" w:ascii="黑体" w:hAnsi="黑体" w:eastAsia="黑体" w:cs="黑体"/>
          <w:kern w:val="2"/>
          <w:szCs w:val="24"/>
        </w:rPr>
      </w:pPr>
      <w:r>
        <w:rPr>
          <w:rFonts w:hint="eastAsia" w:ascii="黑体" w:hAnsi="黑体" w:eastAsia="黑体" w:cs="黑体"/>
          <w:kern w:val="2"/>
          <w:szCs w:val="24"/>
        </w:rPr>
        <w:t>排水量核定</w:t>
      </w:r>
    </w:p>
    <w:p>
      <w:pPr>
        <w:adjustRightInd/>
        <w:snapToGrid/>
        <w:ind w:firstLine="480"/>
      </w:pPr>
      <w:r>
        <w:t>项目营运期产生的废水主要生产废水、生活污水，项目生产废水主要为猪只排放的尿液、猪舍及猪用具冲洗废水、猪粪脱水等，生活污水为职工生活排放的污水等。</w:t>
      </w:r>
    </w:p>
    <w:p>
      <w:pPr>
        <w:adjustRightInd/>
        <w:snapToGrid/>
        <w:ind w:firstLine="482"/>
        <w:rPr>
          <w:b/>
          <w:bCs/>
        </w:rPr>
      </w:pPr>
      <w:r>
        <w:rPr>
          <w:b/>
          <w:bCs/>
        </w:rPr>
        <w:t>（1）猪只尿液</w:t>
      </w:r>
    </w:p>
    <w:p>
      <w:pPr>
        <w:adjustRightInd/>
        <w:snapToGrid/>
        <w:ind w:firstLine="480"/>
      </w:pPr>
      <w:r>
        <w:t>猪粪尿的产生量因猪的生长阶段不同而异，同时也与饲养管理水平、气候、季节等因素有关。本次评价根据《全国规模化畜禽养殖业污染情况调查及防治对策》（国家环保总局自然生态保护司）和《四川省畜禽养殖污染防治技术指南（试行）》（川农业函〔2017〕647号）文件中粪污日排泄量系数，本项目生猪养殖中粪污排泄量中尿的产生量为3.3kg/（头</w:t>
      </w:r>
      <w:r>
        <w:rPr>
          <w:rFonts w:hint="eastAsia"/>
        </w:rPr>
        <w:t>·</w:t>
      </w:r>
      <w:r>
        <w:t>日），夏季按参照值增加20%计（3.96kg/（头</w:t>
      </w:r>
      <w:r>
        <w:rPr>
          <w:rFonts w:hint="eastAsia"/>
        </w:rPr>
        <w:t>·</w:t>
      </w:r>
      <w:r>
        <w:t>日））</w:t>
      </w:r>
      <w:r>
        <w:rPr>
          <w:rFonts w:hint="eastAsia"/>
        </w:rPr>
        <w:t>计，计算尿液量以折算标准存栏量计</w:t>
      </w:r>
      <w:r>
        <w:t>。</w:t>
      </w:r>
      <w:r>
        <w:rPr>
          <w:rFonts w:hint="eastAsia"/>
        </w:rPr>
        <w:t>尿液</w:t>
      </w:r>
      <w:r>
        <w:t>的产生量计算见下表。</w:t>
      </w:r>
    </w:p>
    <w:p>
      <w:pPr>
        <w:adjustRightInd/>
        <w:snapToGrid/>
        <w:spacing w:before="156" w:beforeLines="50" w:line="240" w:lineRule="auto"/>
        <w:ind w:firstLine="0" w:firstLineChars="0"/>
        <w:jc w:val="center"/>
        <w:rPr>
          <w:rFonts w:eastAsiaTheme="minorEastAsia"/>
          <w:b/>
          <w:bCs/>
          <w:kern w:val="2"/>
          <w:sz w:val="21"/>
          <w:szCs w:val="21"/>
          <w:lang w:bidi="ar"/>
        </w:rPr>
      </w:pPr>
      <w:r>
        <w:rPr>
          <w:rFonts w:eastAsiaTheme="minorEastAsia"/>
          <w:b/>
          <w:bCs/>
          <w:kern w:val="2"/>
          <w:sz w:val="21"/>
          <w:szCs w:val="21"/>
          <w:lang w:bidi="ar"/>
        </w:rPr>
        <w:t xml:space="preserve">表 </w:t>
      </w:r>
      <w:r>
        <w:rPr>
          <w:rFonts w:hint="eastAsia" w:eastAsiaTheme="minorEastAsia"/>
          <w:b/>
          <w:bCs/>
          <w:kern w:val="2"/>
          <w:sz w:val="21"/>
          <w:szCs w:val="21"/>
          <w:lang w:bidi="ar"/>
        </w:rPr>
        <w:t>3-1</w:t>
      </w:r>
      <w:r>
        <w:rPr>
          <w:rFonts w:hint="eastAsia" w:eastAsiaTheme="minorEastAsia"/>
          <w:b/>
          <w:bCs/>
          <w:kern w:val="2"/>
          <w:sz w:val="21"/>
          <w:szCs w:val="21"/>
          <w:lang w:val="en-US" w:eastAsia="zh-CN" w:bidi="ar"/>
        </w:rPr>
        <w:t>2</w:t>
      </w:r>
      <w:r>
        <w:rPr>
          <w:rFonts w:eastAsiaTheme="minorEastAsia"/>
          <w:b/>
          <w:bCs/>
          <w:kern w:val="2"/>
          <w:sz w:val="21"/>
          <w:szCs w:val="21"/>
          <w:lang w:bidi="ar"/>
        </w:rPr>
        <w:t xml:space="preserve"> 猪尿产生量计算表</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440"/>
        <w:gridCol w:w="2235"/>
        <w:gridCol w:w="1995"/>
        <w:gridCol w:w="2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tcBorders>
              <w:top w:val="single" w:color="auto" w:sz="12" w:space="0"/>
              <w:left w:val="nil"/>
            </w:tcBorders>
            <w:vAlign w:val="center"/>
          </w:tcPr>
          <w:p>
            <w:pPr>
              <w:adjustRightInd/>
              <w:snapToGrid/>
              <w:spacing w:line="240" w:lineRule="auto"/>
              <w:ind w:firstLine="0" w:firstLineChars="0"/>
              <w:jc w:val="center"/>
              <w:rPr>
                <w:b/>
                <w:bCs/>
                <w:sz w:val="21"/>
                <w:szCs w:val="21"/>
              </w:rPr>
            </w:pPr>
            <w:r>
              <w:rPr>
                <w:b/>
                <w:bCs/>
                <w:sz w:val="21"/>
                <w:szCs w:val="21"/>
              </w:rPr>
              <w:t>项目</w:t>
            </w:r>
          </w:p>
        </w:tc>
        <w:tc>
          <w:tcPr>
            <w:tcW w:w="1440" w:type="dxa"/>
            <w:tcBorders>
              <w:top w:val="single" w:color="auto" w:sz="12" w:space="0"/>
            </w:tcBorders>
            <w:vAlign w:val="center"/>
          </w:tcPr>
          <w:p>
            <w:pPr>
              <w:adjustRightInd/>
              <w:snapToGrid/>
              <w:spacing w:line="240" w:lineRule="auto"/>
              <w:ind w:firstLine="0" w:firstLineChars="0"/>
              <w:jc w:val="center"/>
              <w:rPr>
                <w:b/>
                <w:bCs/>
                <w:sz w:val="21"/>
                <w:szCs w:val="21"/>
              </w:rPr>
            </w:pPr>
            <w:r>
              <w:rPr>
                <w:b/>
                <w:bCs/>
                <w:sz w:val="21"/>
                <w:szCs w:val="21"/>
              </w:rPr>
              <w:t>存栏量（头）</w:t>
            </w:r>
          </w:p>
        </w:tc>
        <w:tc>
          <w:tcPr>
            <w:tcW w:w="2235" w:type="dxa"/>
            <w:tcBorders>
              <w:top w:val="single" w:color="auto" w:sz="12" w:space="0"/>
            </w:tcBorders>
            <w:vAlign w:val="center"/>
          </w:tcPr>
          <w:p>
            <w:pPr>
              <w:adjustRightInd/>
              <w:snapToGrid/>
              <w:spacing w:line="240" w:lineRule="auto"/>
              <w:ind w:firstLine="0" w:firstLineChars="0"/>
              <w:jc w:val="center"/>
              <w:rPr>
                <w:b/>
                <w:bCs/>
                <w:sz w:val="21"/>
                <w:szCs w:val="21"/>
              </w:rPr>
            </w:pPr>
            <w:r>
              <w:rPr>
                <w:b/>
                <w:bCs/>
                <w:sz w:val="21"/>
                <w:szCs w:val="21"/>
              </w:rPr>
              <w:t>排泄量系数（kg/d·头）</w:t>
            </w:r>
          </w:p>
        </w:tc>
        <w:tc>
          <w:tcPr>
            <w:tcW w:w="1995" w:type="dxa"/>
            <w:tcBorders>
              <w:top w:val="single" w:color="auto" w:sz="12" w:space="0"/>
            </w:tcBorders>
            <w:vAlign w:val="center"/>
          </w:tcPr>
          <w:p>
            <w:pPr>
              <w:adjustRightInd/>
              <w:snapToGrid/>
              <w:spacing w:line="240" w:lineRule="auto"/>
              <w:ind w:firstLine="0" w:firstLineChars="0"/>
              <w:jc w:val="center"/>
              <w:rPr>
                <w:b/>
                <w:bCs/>
                <w:sz w:val="21"/>
                <w:szCs w:val="21"/>
              </w:rPr>
            </w:pPr>
            <w:r>
              <w:rPr>
                <w:b/>
                <w:bCs/>
                <w:sz w:val="21"/>
                <w:szCs w:val="21"/>
              </w:rPr>
              <w:t>猪尿日产生量（t/d）</w:t>
            </w:r>
          </w:p>
        </w:tc>
        <w:tc>
          <w:tcPr>
            <w:tcW w:w="2017" w:type="dxa"/>
            <w:tcBorders>
              <w:top w:val="single" w:color="auto" w:sz="12" w:space="0"/>
              <w:right w:val="nil"/>
            </w:tcBorders>
            <w:vAlign w:val="center"/>
          </w:tcPr>
          <w:p>
            <w:pPr>
              <w:adjustRightInd/>
              <w:snapToGrid/>
              <w:spacing w:line="240" w:lineRule="auto"/>
              <w:ind w:firstLine="0" w:firstLineChars="0"/>
              <w:jc w:val="center"/>
              <w:rPr>
                <w:b/>
                <w:bCs/>
                <w:sz w:val="21"/>
                <w:szCs w:val="21"/>
              </w:rPr>
            </w:pPr>
            <w:r>
              <w:rPr>
                <w:b/>
                <w:bCs/>
                <w:sz w:val="21"/>
                <w:szCs w:val="21"/>
              </w:rPr>
              <w:t>猪尿年产生量（t/a）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tcBorders>
              <w:left w:val="nil"/>
              <w:bottom w:val="single" w:color="auto" w:sz="12" w:space="0"/>
            </w:tcBorders>
            <w:vAlign w:val="center"/>
          </w:tcPr>
          <w:p>
            <w:pPr>
              <w:adjustRightInd/>
              <w:snapToGrid/>
              <w:spacing w:line="240" w:lineRule="auto"/>
              <w:ind w:firstLine="0" w:firstLineChars="0"/>
              <w:jc w:val="center"/>
              <w:rPr>
                <w:sz w:val="21"/>
                <w:szCs w:val="21"/>
              </w:rPr>
            </w:pPr>
            <w:r>
              <w:rPr>
                <w:rFonts w:hint="eastAsia"/>
                <w:sz w:val="21"/>
                <w:szCs w:val="21"/>
              </w:rPr>
              <w:t>猪尿</w:t>
            </w:r>
          </w:p>
        </w:tc>
        <w:tc>
          <w:tcPr>
            <w:tcW w:w="1440" w:type="dxa"/>
            <w:tcBorders>
              <w:bottom w:val="single" w:color="auto" w:sz="12" w:space="0"/>
            </w:tcBorders>
            <w:vAlign w:val="center"/>
          </w:tcPr>
          <w:p>
            <w:pPr>
              <w:adjustRightInd/>
              <w:snapToGrid/>
              <w:spacing w:line="240" w:lineRule="auto"/>
              <w:ind w:firstLine="0" w:firstLineChars="0"/>
              <w:jc w:val="center"/>
              <w:rPr>
                <w:sz w:val="21"/>
                <w:szCs w:val="21"/>
              </w:rPr>
            </w:pPr>
            <w:r>
              <w:rPr>
                <w:rFonts w:hint="eastAsia"/>
                <w:sz w:val="21"/>
                <w:szCs w:val="21"/>
              </w:rPr>
              <w:t>44100</w:t>
            </w:r>
          </w:p>
        </w:tc>
        <w:tc>
          <w:tcPr>
            <w:tcW w:w="2235" w:type="dxa"/>
            <w:tcBorders>
              <w:bottom w:val="single" w:color="auto" w:sz="12" w:space="0"/>
            </w:tcBorders>
            <w:vAlign w:val="center"/>
          </w:tcPr>
          <w:p>
            <w:pPr>
              <w:adjustRightInd/>
              <w:snapToGrid/>
              <w:spacing w:line="240" w:lineRule="auto"/>
              <w:ind w:firstLine="0" w:firstLineChars="0"/>
              <w:jc w:val="center"/>
              <w:rPr>
                <w:sz w:val="21"/>
                <w:szCs w:val="21"/>
              </w:rPr>
            </w:pPr>
            <w:r>
              <w:rPr>
                <w:rFonts w:hint="eastAsia"/>
                <w:sz w:val="21"/>
                <w:szCs w:val="21"/>
              </w:rPr>
              <w:t>3.3</w:t>
            </w:r>
          </w:p>
        </w:tc>
        <w:tc>
          <w:tcPr>
            <w:tcW w:w="1995" w:type="dxa"/>
            <w:tcBorders>
              <w:bottom w:val="single" w:color="auto" w:sz="12" w:space="0"/>
            </w:tcBorders>
            <w:vAlign w:val="center"/>
          </w:tcPr>
          <w:p>
            <w:pPr>
              <w:adjustRightInd/>
              <w:snapToGrid/>
              <w:spacing w:line="240" w:lineRule="auto"/>
              <w:ind w:firstLine="0" w:firstLineChars="0"/>
              <w:jc w:val="center"/>
              <w:rPr>
                <w:sz w:val="21"/>
                <w:szCs w:val="21"/>
              </w:rPr>
            </w:pPr>
            <w:r>
              <w:rPr>
                <w:rFonts w:hint="eastAsia"/>
                <w:sz w:val="21"/>
                <w:szCs w:val="21"/>
              </w:rPr>
              <w:t>145.53</w:t>
            </w:r>
          </w:p>
        </w:tc>
        <w:tc>
          <w:tcPr>
            <w:tcW w:w="2017" w:type="dxa"/>
            <w:tcBorders>
              <w:bottom w:val="single" w:color="auto" w:sz="12" w:space="0"/>
              <w:right w:val="nil"/>
            </w:tcBorders>
            <w:vAlign w:val="center"/>
          </w:tcPr>
          <w:p>
            <w:pPr>
              <w:adjustRightInd/>
              <w:snapToGrid/>
              <w:spacing w:line="240" w:lineRule="auto"/>
              <w:ind w:firstLine="0" w:firstLineChars="0"/>
              <w:jc w:val="center"/>
              <w:rPr>
                <w:sz w:val="21"/>
                <w:szCs w:val="21"/>
              </w:rPr>
            </w:pPr>
            <w:r>
              <w:rPr>
                <w:rFonts w:hint="eastAsia"/>
                <w:sz w:val="21"/>
                <w:szCs w:val="21"/>
              </w:rPr>
              <w:t>53118.45</w:t>
            </w:r>
          </w:p>
        </w:tc>
      </w:tr>
    </w:tbl>
    <w:p>
      <w:pPr>
        <w:adjustRightInd/>
        <w:snapToGrid/>
        <w:ind w:firstLine="480"/>
      </w:pPr>
      <w:r>
        <w:t>根据《全国规模化畜禽养殖业污染情况调查及防治对策》（国家环保总局自然生态保护司）、《四川省畜禽养殖污染防治技术指南（试行）》（川农业函〔2017〕647号）中猪粪产生量为2kg/只•d及《排污许可证申请与核发技术规范 畜禽养殖行业》（HJ1029-2019），猪粪产生量为1.24 kg/只•天，本次环评取2.0kg/只•d进行统计，</w:t>
      </w:r>
      <w:r>
        <w:rPr>
          <w:rFonts w:hint="eastAsia"/>
        </w:rPr>
        <w:t>计算猪粪量以折算标准存栏量计</w:t>
      </w:r>
      <w:r>
        <w:t>。猪粪的产生量计算见下表。</w:t>
      </w:r>
    </w:p>
    <w:p>
      <w:pPr>
        <w:adjustRightInd/>
        <w:snapToGrid/>
        <w:spacing w:before="156" w:beforeLines="50" w:line="240" w:lineRule="auto"/>
        <w:ind w:firstLine="0" w:firstLineChars="0"/>
        <w:jc w:val="center"/>
        <w:rPr>
          <w:rFonts w:eastAsiaTheme="minorEastAsia"/>
          <w:b/>
          <w:bCs/>
          <w:kern w:val="2"/>
          <w:sz w:val="21"/>
          <w:szCs w:val="21"/>
          <w:lang w:bidi="ar"/>
        </w:rPr>
      </w:pPr>
      <w:r>
        <w:rPr>
          <w:rFonts w:eastAsiaTheme="minorEastAsia"/>
          <w:b/>
          <w:bCs/>
          <w:kern w:val="2"/>
          <w:sz w:val="21"/>
          <w:szCs w:val="21"/>
          <w:lang w:bidi="ar"/>
        </w:rPr>
        <w:t xml:space="preserve">表 </w:t>
      </w:r>
      <w:r>
        <w:rPr>
          <w:rFonts w:hint="eastAsia" w:eastAsiaTheme="minorEastAsia"/>
          <w:b/>
          <w:bCs/>
          <w:kern w:val="2"/>
          <w:sz w:val="21"/>
          <w:szCs w:val="21"/>
          <w:lang w:bidi="ar"/>
        </w:rPr>
        <w:t>3-1</w:t>
      </w:r>
      <w:r>
        <w:rPr>
          <w:rFonts w:hint="eastAsia" w:eastAsiaTheme="minorEastAsia"/>
          <w:b/>
          <w:bCs/>
          <w:kern w:val="2"/>
          <w:sz w:val="21"/>
          <w:szCs w:val="21"/>
          <w:lang w:val="en-US" w:eastAsia="zh-CN" w:bidi="ar"/>
        </w:rPr>
        <w:t>3</w:t>
      </w:r>
      <w:r>
        <w:rPr>
          <w:rFonts w:eastAsiaTheme="minorEastAsia"/>
          <w:b/>
          <w:bCs/>
          <w:kern w:val="2"/>
          <w:sz w:val="21"/>
          <w:szCs w:val="21"/>
          <w:lang w:bidi="ar"/>
        </w:rPr>
        <w:t xml:space="preserve"> 猪粪产生量计算表</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425"/>
        <w:gridCol w:w="2265"/>
        <w:gridCol w:w="1995"/>
        <w:gridCol w:w="2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tcBorders>
              <w:top w:val="single" w:color="auto" w:sz="12" w:space="0"/>
              <w:left w:val="nil"/>
            </w:tcBorders>
            <w:vAlign w:val="center"/>
          </w:tcPr>
          <w:p>
            <w:pPr>
              <w:adjustRightInd/>
              <w:snapToGrid/>
              <w:spacing w:line="240" w:lineRule="auto"/>
              <w:ind w:firstLine="0" w:firstLineChars="0"/>
              <w:jc w:val="center"/>
              <w:rPr>
                <w:b/>
                <w:bCs/>
                <w:sz w:val="21"/>
                <w:szCs w:val="21"/>
              </w:rPr>
            </w:pPr>
            <w:r>
              <w:rPr>
                <w:b/>
                <w:bCs/>
                <w:sz w:val="21"/>
                <w:szCs w:val="21"/>
              </w:rPr>
              <w:t>项目</w:t>
            </w:r>
          </w:p>
        </w:tc>
        <w:tc>
          <w:tcPr>
            <w:tcW w:w="1425" w:type="dxa"/>
            <w:tcBorders>
              <w:top w:val="single" w:color="auto" w:sz="12" w:space="0"/>
            </w:tcBorders>
            <w:vAlign w:val="center"/>
          </w:tcPr>
          <w:p>
            <w:pPr>
              <w:adjustRightInd/>
              <w:snapToGrid/>
              <w:spacing w:line="240" w:lineRule="auto"/>
              <w:ind w:firstLine="0" w:firstLineChars="0"/>
              <w:jc w:val="center"/>
              <w:rPr>
                <w:b/>
                <w:bCs/>
                <w:sz w:val="21"/>
                <w:szCs w:val="21"/>
              </w:rPr>
            </w:pPr>
            <w:r>
              <w:rPr>
                <w:b/>
                <w:bCs/>
                <w:sz w:val="21"/>
                <w:szCs w:val="21"/>
              </w:rPr>
              <w:t>存栏量（头）</w:t>
            </w:r>
          </w:p>
        </w:tc>
        <w:tc>
          <w:tcPr>
            <w:tcW w:w="2265" w:type="dxa"/>
            <w:tcBorders>
              <w:top w:val="single" w:color="auto" w:sz="12" w:space="0"/>
            </w:tcBorders>
            <w:vAlign w:val="center"/>
          </w:tcPr>
          <w:p>
            <w:pPr>
              <w:adjustRightInd/>
              <w:snapToGrid/>
              <w:spacing w:line="240" w:lineRule="auto"/>
              <w:ind w:firstLine="0" w:firstLineChars="0"/>
              <w:jc w:val="center"/>
              <w:rPr>
                <w:b/>
                <w:bCs/>
                <w:sz w:val="21"/>
                <w:szCs w:val="21"/>
              </w:rPr>
            </w:pPr>
            <w:r>
              <w:rPr>
                <w:b/>
                <w:bCs/>
                <w:sz w:val="21"/>
                <w:szCs w:val="21"/>
              </w:rPr>
              <w:t>排泄量系数（kg/d·头）</w:t>
            </w:r>
          </w:p>
        </w:tc>
        <w:tc>
          <w:tcPr>
            <w:tcW w:w="1995" w:type="dxa"/>
            <w:tcBorders>
              <w:top w:val="single" w:color="auto" w:sz="12" w:space="0"/>
            </w:tcBorders>
            <w:vAlign w:val="center"/>
          </w:tcPr>
          <w:p>
            <w:pPr>
              <w:adjustRightInd/>
              <w:snapToGrid/>
              <w:spacing w:line="240" w:lineRule="auto"/>
              <w:ind w:firstLine="0" w:firstLineChars="0"/>
              <w:jc w:val="center"/>
              <w:rPr>
                <w:b/>
                <w:bCs/>
                <w:sz w:val="21"/>
                <w:szCs w:val="21"/>
              </w:rPr>
            </w:pPr>
            <w:r>
              <w:rPr>
                <w:b/>
                <w:bCs/>
                <w:sz w:val="21"/>
                <w:szCs w:val="21"/>
              </w:rPr>
              <w:t>猪粪日产生量（t/d）</w:t>
            </w:r>
          </w:p>
        </w:tc>
        <w:tc>
          <w:tcPr>
            <w:tcW w:w="2002" w:type="dxa"/>
            <w:tcBorders>
              <w:top w:val="single" w:color="auto" w:sz="12" w:space="0"/>
              <w:right w:val="nil"/>
            </w:tcBorders>
            <w:vAlign w:val="center"/>
          </w:tcPr>
          <w:p>
            <w:pPr>
              <w:adjustRightInd/>
              <w:snapToGrid/>
              <w:spacing w:line="240" w:lineRule="auto"/>
              <w:ind w:firstLine="0" w:firstLineChars="0"/>
              <w:jc w:val="center"/>
              <w:rPr>
                <w:b/>
                <w:bCs/>
                <w:sz w:val="21"/>
                <w:szCs w:val="21"/>
              </w:rPr>
            </w:pPr>
            <w:r>
              <w:rPr>
                <w:b/>
                <w:bCs/>
                <w:sz w:val="21"/>
                <w:szCs w:val="21"/>
              </w:rPr>
              <w:t>猪粪年产生量（t/a）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tcBorders>
              <w:left w:val="nil"/>
              <w:bottom w:val="single" w:color="auto" w:sz="12" w:space="0"/>
            </w:tcBorders>
            <w:vAlign w:val="center"/>
          </w:tcPr>
          <w:p>
            <w:pPr>
              <w:adjustRightInd/>
              <w:snapToGrid/>
              <w:spacing w:line="240" w:lineRule="auto"/>
              <w:ind w:firstLine="0" w:firstLineChars="0"/>
              <w:jc w:val="center"/>
              <w:rPr>
                <w:sz w:val="21"/>
                <w:szCs w:val="21"/>
              </w:rPr>
            </w:pPr>
            <w:r>
              <w:rPr>
                <w:sz w:val="21"/>
                <w:szCs w:val="21"/>
              </w:rPr>
              <w:t>猪粪</w:t>
            </w:r>
          </w:p>
        </w:tc>
        <w:tc>
          <w:tcPr>
            <w:tcW w:w="1425" w:type="dxa"/>
            <w:tcBorders>
              <w:bottom w:val="single" w:color="auto" w:sz="12" w:space="0"/>
            </w:tcBorders>
            <w:vAlign w:val="center"/>
          </w:tcPr>
          <w:p>
            <w:pPr>
              <w:adjustRightInd/>
              <w:snapToGrid/>
              <w:spacing w:line="240" w:lineRule="auto"/>
              <w:ind w:firstLine="0" w:firstLineChars="0"/>
              <w:jc w:val="center"/>
              <w:rPr>
                <w:sz w:val="21"/>
                <w:szCs w:val="21"/>
              </w:rPr>
            </w:pPr>
            <w:r>
              <w:rPr>
                <w:rFonts w:hint="eastAsia"/>
                <w:sz w:val="21"/>
                <w:szCs w:val="21"/>
              </w:rPr>
              <w:t>44100</w:t>
            </w:r>
          </w:p>
        </w:tc>
        <w:tc>
          <w:tcPr>
            <w:tcW w:w="2265" w:type="dxa"/>
            <w:tcBorders>
              <w:bottom w:val="single" w:color="auto" w:sz="12" w:space="0"/>
            </w:tcBorders>
            <w:vAlign w:val="center"/>
          </w:tcPr>
          <w:p>
            <w:pPr>
              <w:adjustRightInd/>
              <w:snapToGrid/>
              <w:spacing w:line="240" w:lineRule="auto"/>
              <w:ind w:firstLine="0" w:firstLineChars="0"/>
              <w:jc w:val="center"/>
              <w:rPr>
                <w:sz w:val="21"/>
                <w:szCs w:val="21"/>
              </w:rPr>
            </w:pPr>
            <w:r>
              <w:rPr>
                <w:rFonts w:hint="eastAsia"/>
                <w:sz w:val="21"/>
                <w:szCs w:val="21"/>
              </w:rPr>
              <w:t>2.0</w:t>
            </w:r>
          </w:p>
        </w:tc>
        <w:tc>
          <w:tcPr>
            <w:tcW w:w="1995" w:type="dxa"/>
            <w:tcBorders>
              <w:bottom w:val="single" w:color="auto" w:sz="12" w:space="0"/>
            </w:tcBorders>
            <w:vAlign w:val="center"/>
          </w:tcPr>
          <w:p>
            <w:pPr>
              <w:adjustRightInd/>
              <w:snapToGrid/>
              <w:spacing w:line="240" w:lineRule="auto"/>
              <w:ind w:firstLine="0" w:firstLineChars="0"/>
              <w:jc w:val="center"/>
              <w:rPr>
                <w:sz w:val="21"/>
                <w:szCs w:val="21"/>
              </w:rPr>
            </w:pPr>
            <w:r>
              <w:rPr>
                <w:rFonts w:hint="eastAsia"/>
                <w:sz w:val="21"/>
                <w:szCs w:val="21"/>
              </w:rPr>
              <w:t>88.2</w:t>
            </w:r>
          </w:p>
        </w:tc>
        <w:tc>
          <w:tcPr>
            <w:tcW w:w="2002" w:type="dxa"/>
            <w:tcBorders>
              <w:bottom w:val="single" w:color="auto" w:sz="12" w:space="0"/>
              <w:right w:val="nil"/>
            </w:tcBorders>
            <w:vAlign w:val="center"/>
          </w:tcPr>
          <w:p>
            <w:pPr>
              <w:adjustRightInd/>
              <w:snapToGrid/>
              <w:spacing w:line="240" w:lineRule="auto"/>
              <w:ind w:firstLine="0" w:firstLineChars="0"/>
              <w:jc w:val="center"/>
              <w:rPr>
                <w:sz w:val="21"/>
                <w:szCs w:val="21"/>
              </w:rPr>
            </w:pPr>
            <w:r>
              <w:rPr>
                <w:rFonts w:hint="eastAsia"/>
                <w:sz w:val="21"/>
                <w:szCs w:val="21"/>
              </w:rPr>
              <w:t>32193</w:t>
            </w:r>
          </w:p>
        </w:tc>
      </w:tr>
    </w:tbl>
    <w:p>
      <w:pPr>
        <w:adjustRightInd/>
        <w:snapToGrid/>
        <w:ind w:firstLine="480"/>
        <w:rPr>
          <w:rFonts w:hint="eastAsia"/>
        </w:rPr>
      </w:pPr>
      <w:r>
        <w:t>综上，猪</w:t>
      </w:r>
      <w:r>
        <w:rPr>
          <w:rFonts w:hint="eastAsia"/>
        </w:rPr>
        <w:t>尿</w:t>
      </w:r>
      <w:r>
        <w:t>的年产生量约为</w:t>
      </w:r>
      <w:r>
        <w:rPr>
          <w:rFonts w:hint="eastAsia"/>
        </w:rPr>
        <w:t>145.53</w:t>
      </w:r>
      <w:r>
        <w:t>t/d（</w:t>
      </w:r>
      <w:r>
        <w:rPr>
          <w:rFonts w:hint="eastAsia"/>
        </w:rPr>
        <w:t>53118.45</w:t>
      </w:r>
      <w:r>
        <w:t>t/a），新鲜猪粪</w:t>
      </w:r>
      <w:r>
        <w:rPr>
          <w:rFonts w:hint="eastAsia"/>
        </w:rPr>
        <w:t>88.2</w:t>
      </w:r>
      <w:r>
        <w:t>t/d（</w:t>
      </w:r>
      <w:r>
        <w:rPr>
          <w:rFonts w:hint="eastAsia"/>
        </w:rPr>
        <w:t>32193</w:t>
      </w:r>
      <w:r>
        <w:t>t/a）。</w:t>
      </w:r>
      <w:r>
        <w:rPr>
          <w:rFonts w:hint="eastAsia"/>
        </w:rPr>
        <w:t>其中用作有机肥生产</w:t>
      </w:r>
      <w:r>
        <w:rPr>
          <w:rFonts w:hint="eastAsia"/>
          <w:lang w:val="en-US" w:eastAsia="zh-CN"/>
        </w:rPr>
        <w:t>配料</w:t>
      </w:r>
      <w:r>
        <w:rPr>
          <w:rFonts w:hint="eastAsia"/>
        </w:rPr>
        <w:t>的尿液量为</w:t>
      </w:r>
      <w:r>
        <w:rPr>
          <w:rFonts w:hint="eastAsia"/>
          <w:lang w:val="en-US" w:eastAsia="zh-CN"/>
        </w:rPr>
        <w:t>67.2</w:t>
      </w:r>
      <w:r>
        <w:rPr>
          <w:rFonts w:hint="eastAsia"/>
        </w:rPr>
        <w:t>t/d（15570.9t/a）。</w:t>
      </w:r>
    </w:p>
    <w:p>
      <w:pPr>
        <w:adjustRightInd/>
        <w:snapToGrid/>
        <w:ind w:firstLine="482"/>
        <w:rPr>
          <w:b/>
          <w:bCs/>
        </w:rPr>
      </w:pPr>
      <w:r>
        <w:rPr>
          <w:b/>
          <w:bCs/>
        </w:rPr>
        <w:t>（</w:t>
      </w:r>
      <w:r>
        <w:rPr>
          <w:rFonts w:hint="eastAsia"/>
          <w:b/>
          <w:bCs/>
          <w:lang w:val="en-US" w:eastAsia="zh-CN"/>
        </w:rPr>
        <w:t>2</w:t>
      </w:r>
      <w:r>
        <w:rPr>
          <w:b/>
          <w:bCs/>
        </w:rPr>
        <w:t>）食槽清洗废水</w:t>
      </w:r>
    </w:p>
    <w:p>
      <w:pPr>
        <w:adjustRightInd/>
        <w:snapToGrid/>
        <w:ind w:firstLine="480"/>
      </w:pPr>
      <w:r>
        <w:t>根据用水量核定，食槽清洗用水量为</w:t>
      </w:r>
      <w:r>
        <w:rPr>
          <w:rFonts w:hint="eastAsia"/>
        </w:rPr>
        <w:t>12</w:t>
      </w:r>
      <w:r>
        <w:t>m</w:t>
      </w:r>
      <w:r>
        <w:rPr>
          <w:vertAlign w:val="superscript"/>
        </w:rPr>
        <w:t>3</w:t>
      </w:r>
      <w:r>
        <w:t>/d（</w:t>
      </w:r>
      <w:r>
        <w:rPr>
          <w:rFonts w:hint="eastAsia"/>
        </w:rPr>
        <w:t>4380</w:t>
      </w:r>
      <w:r>
        <w:t>m</w:t>
      </w:r>
      <w:r>
        <w:rPr>
          <w:vertAlign w:val="superscript"/>
        </w:rPr>
        <w:t>3</w:t>
      </w:r>
      <w:r>
        <w:t>/a），冲洗次数为1天/次，产污系数为0.8，则食槽清洗废水日产生量为</w:t>
      </w:r>
      <w:r>
        <w:rPr>
          <w:rFonts w:hint="eastAsia"/>
        </w:rPr>
        <w:t>9.6</w:t>
      </w:r>
      <w:r>
        <w:t>m</w:t>
      </w:r>
      <w:r>
        <w:rPr>
          <w:vertAlign w:val="superscript"/>
        </w:rPr>
        <w:t>3</w:t>
      </w:r>
      <w:r>
        <w:t>/d，年产生量为</w:t>
      </w:r>
      <w:r>
        <w:rPr>
          <w:rFonts w:hint="eastAsia"/>
        </w:rPr>
        <w:t>3504</w:t>
      </w:r>
      <w:r>
        <w:t>m</w:t>
      </w:r>
      <w:r>
        <w:rPr>
          <w:vertAlign w:val="superscript"/>
        </w:rPr>
        <w:t>3</w:t>
      </w:r>
      <w:r>
        <w:t>/a。</w:t>
      </w:r>
    </w:p>
    <w:p>
      <w:pPr>
        <w:adjustRightInd/>
        <w:snapToGrid/>
        <w:ind w:firstLine="482"/>
        <w:rPr>
          <w:b/>
          <w:bCs/>
        </w:rPr>
      </w:pPr>
      <w:r>
        <w:rPr>
          <w:b/>
          <w:bCs/>
        </w:rPr>
        <w:t>（</w:t>
      </w:r>
      <w:r>
        <w:rPr>
          <w:rFonts w:hint="eastAsia"/>
          <w:b/>
          <w:bCs/>
          <w:lang w:val="en-US" w:eastAsia="zh-CN"/>
        </w:rPr>
        <w:t>3</w:t>
      </w:r>
      <w:r>
        <w:rPr>
          <w:b/>
          <w:bCs/>
        </w:rPr>
        <w:t>）猪舍及赶猪通道清洗废水</w:t>
      </w:r>
    </w:p>
    <w:p>
      <w:pPr>
        <w:adjustRightInd/>
        <w:snapToGrid/>
        <w:ind w:firstLine="480"/>
      </w:pPr>
      <w:r>
        <w:t>猪舍冲洗废水排放系数按冲洗用水的80%计算，则猪舍冲洗废水量为</w:t>
      </w:r>
      <w:r>
        <w:rPr>
          <w:rFonts w:hint="eastAsia"/>
        </w:rPr>
        <w:t>5715.36</w:t>
      </w:r>
      <w:r>
        <w:t>m</w:t>
      </w:r>
      <w:r>
        <w:rPr>
          <w:vertAlign w:val="superscript"/>
        </w:rPr>
        <w:t>3</w:t>
      </w:r>
      <w:r>
        <w:t>/a，每天的猪舍清洗废水</w:t>
      </w:r>
      <w:r>
        <w:rPr>
          <w:rFonts w:hint="eastAsia"/>
        </w:rPr>
        <w:t>约</w:t>
      </w:r>
      <w:r>
        <w:t>为</w:t>
      </w:r>
      <w:r>
        <w:rPr>
          <w:rFonts w:hint="eastAsia"/>
        </w:rPr>
        <w:t>15.66</w:t>
      </w:r>
      <w:r>
        <w:t>m</w:t>
      </w:r>
      <w:r>
        <w:rPr>
          <w:vertAlign w:val="superscript"/>
        </w:rPr>
        <w:t>3</w:t>
      </w:r>
      <w:r>
        <w:t>/d。</w:t>
      </w:r>
    </w:p>
    <w:p>
      <w:pPr>
        <w:adjustRightInd/>
        <w:snapToGrid/>
        <w:ind w:firstLine="482"/>
        <w:rPr>
          <w:b/>
          <w:bCs/>
        </w:rPr>
      </w:pPr>
      <w:r>
        <w:rPr>
          <w:b/>
          <w:bCs/>
        </w:rPr>
        <w:t>（</w:t>
      </w:r>
      <w:r>
        <w:rPr>
          <w:rFonts w:hint="eastAsia"/>
          <w:b/>
          <w:bCs/>
          <w:lang w:val="en-US" w:eastAsia="zh-CN"/>
        </w:rPr>
        <w:t>4</w:t>
      </w:r>
      <w:r>
        <w:rPr>
          <w:b/>
          <w:bCs/>
        </w:rPr>
        <w:t>）</w:t>
      </w:r>
      <w:r>
        <w:rPr>
          <w:rFonts w:hint="eastAsia"/>
          <w:b/>
          <w:bCs/>
        </w:rPr>
        <w:t>分娩设备</w:t>
      </w:r>
      <w:r>
        <w:rPr>
          <w:b/>
          <w:bCs/>
        </w:rPr>
        <w:t>清洗废水</w:t>
      </w:r>
    </w:p>
    <w:p>
      <w:pPr>
        <w:adjustRightInd/>
        <w:snapToGrid/>
        <w:ind w:firstLine="480"/>
      </w:pPr>
      <w:r>
        <w:t>经计算，本项目分娩设备清洗用水量为</w:t>
      </w:r>
      <w:r>
        <w:rPr>
          <w:rFonts w:hint="eastAsia"/>
        </w:rPr>
        <w:t>2.7</w:t>
      </w:r>
      <w:r>
        <w:t>m</w:t>
      </w:r>
      <w:r>
        <w:rPr>
          <w:vertAlign w:val="superscript"/>
        </w:rPr>
        <w:t>3</w:t>
      </w:r>
      <w:r>
        <w:t>/d（</w:t>
      </w:r>
      <w:r>
        <w:rPr>
          <w:rFonts w:hint="eastAsia"/>
        </w:rPr>
        <w:t>985.5</w:t>
      </w:r>
      <w:r>
        <w:t>m</w:t>
      </w:r>
      <w:r>
        <w:rPr>
          <w:vertAlign w:val="superscript"/>
        </w:rPr>
        <w:t>3</w:t>
      </w:r>
      <w:r>
        <w:t>/a），产污系数按照0.8计算，则本项目猪舍清洗废水量约</w:t>
      </w:r>
      <w:r>
        <w:rPr>
          <w:rFonts w:hint="eastAsia"/>
        </w:rPr>
        <w:t>2.16</w:t>
      </w:r>
      <w:r>
        <w:t>m</w:t>
      </w:r>
      <w:r>
        <w:rPr>
          <w:vertAlign w:val="superscript"/>
        </w:rPr>
        <w:t>3</w:t>
      </w:r>
      <w:r>
        <w:t>/d（</w:t>
      </w:r>
      <w:r>
        <w:rPr>
          <w:rFonts w:hint="eastAsia"/>
        </w:rPr>
        <w:t>788.4</w:t>
      </w:r>
      <w:r>
        <w:t>m</w:t>
      </w:r>
      <w:r>
        <w:rPr>
          <w:vertAlign w:val="superscript"/>
        </w:rPr>
        <w:t>3</w:t>
      </w:r>
      <w:r>
        <w:t>/a）。</w:t>
      </w:r>
    </w:p>
    <w:p>
      <w:pPr>
        <w:adjustRightInd/>
        <w:snapToGrid/>
        <w:ind w:firstLine="482"/>
        <w:rPr>
          <w:b/>
          <w:bCs/>
        </w:rPr>
      </w:pPr>
      <w:r>
        <w:rPr>
          <w:b/>
          <w:bCs/>
        </w:rPr>
        <w:t>（</w:t>
      </w:r>
      <w:r>
        <w:rPr>
          <w:rFonts w:hint="eastAsia"/>
          <w:b/>
          <w:bCs/>
          <w:lang w:val="en-US" w:eastAsia="zh-CN"/>
        </w:rPr>
        <w:t>5</w:t>
      </w:r>
      <w:r>
        <w:rPr>
          <w:b/>
          <w:bCs/>
        </w:rPr>
        <w:t>）生活污水</w:t>
      </w:r>
    </w:p>
    <w:p>
      <w:pPr>
        <w:adjustRightInd/>
        <w:snapToGrid/>
        <w:ind w:firstLine="480"/>
      </w:pPr>
      <w:r>
        <w:t>根据用水核定，职工生活用水量为</w:t>
      </w:r>
      <w:r>
        <w:rPr>
          <w:rFonts w:hint="eastAsia"/>
        </w:rPr>
        <w:t>4.0</w:t>
      </w:r>
      <w:r>
        <w:t>m</w:t>
      </w:r>
      <w:r>
        <w:rPr>
          <w:vertAlign w:val="superscript"/>
        </w:rPr>
        <w:t>3</w:t>
      </w:r>
      <w:r>
        <w:t>/d（</w:t>
      </w:r>
      <w:r>
        <w:rPr>
          <w:rFonts w:hint="eastAsia"/>
        </w:rPr>
        <w:t>1460</w:t>
      </w:r>
      <w:r>
        <w:t>m</w:t>
      </w:r>
      <w:r>
        <w:rPr>
          <w:vertAlign w:val="superscript"/>
        </w:rPr>
        <w:t>3</w:t>
      </w:r>
      <w:r>
        <w:t>/a），排污系数按0.8计，则本项目的生活污水产生量为</w:t>
      </w:r>
      <w:r>
        <w:rPr>
          <w:rFonts w:hint="eastAsia"/>
        </w:rPr>
        <w:t>3.2</w:t>
      </w:r>
      <w:r>
        <w:t>m</w:t>
      </w:r>
      <w:r>
        <w:rPr>
          <w:vertAlign w:val="superscript"/>
        </w:rPr>
        <w:t>3</w:t>
      </w:r>
      <w:r>
        <w:t>/d（</w:t>
      </w:r>
      <w:r>
        <w:rPr>
          <w:rFonts w:hint="eastAsia"/>
        </w:rPr>
        <w:t>1168</w:t>
      </w:r>
      <w:r>
        <w:t>m</w:t>
      </w:r>
      <w:r>
        <w:rPr>
          <w:vertAlign w:val="superscript"/>
        </w:rPr>
        <w:t>3</w:t>
      </w:r>
      <w:r>
        <w:t>/a）（含食堂废水），其中食堂含油废水应经隔油后方可排放至本项目场内</w:t>
      </w:r>
      <w:r>
        <w:rPr>
          <w:rFonts w:hint="eastAsia"/>
        </w:rPr>
        <w:t>预处理池</w:t>
      </w:r>
      <w:r>
        <w:t>，餐饮潲水单独桶装收集不排放至本项目集污管网。</w:t>
      </w:r>
    </w:p>
    <w:p>
      <w:pPr>
        <w:adjustRightInd/>
        <w:snapToGrid/>
        <w:ind w:firstLine="482"/>
        <w:rPr>
          <w:b/>
          <w:bCs/>
        </w:rPr>
      </w:pPr>
      <w:r>
        <w:rPr>
          <w:b/>
          <w:bCs/>
        </w:rPr>
        <w:t>（</w:t>
      </w:r>
      <w:r>
        <w:rPr>
          <w:rFonts w:hint="eastAsia"/>
          <w:b/>
          <w:bCs/>
          <w:lang w:val="en-US" w:eastAsia="zh-CN"/>
        </w:rPr>
        <w:t>6</w:t>
      </w:r>
      <w:r>
        <w:rPr>
          <w:b/>
          <w:bCs/>
        </w:rPr>
        <w:t>）水帘降温系统废水</w:t>
      </w:r>
    </w:p>
    <w:p>
      <w:pPr>
        <w:adjustRightInd/>
        <w:snapToGrid/>
        <w:ind w:firstLine="480"/>
      </w:pPr>
      <w:r>
        <w:t>项目猪舍水帘循环水总用水量约为</w:t>
      </w:r>
      <w:r>
        <w:rPr>
          <w:rFonts w:hint="eastAsia"/>
        </w:rPr>
        <w:t>20</w:t>
      </w:r>
      <w:r>
        <w:t>m</w:t>
      </w:r>
      <w:r>
        <w:rPr>
          <w:vertAlign w:val="superscript"/>
        </w:rPr>
        <w:t>3</w:t>
      </w:r>
      <w:r>
        <w:t>/d，其中回用水量为1.08m</w:t>
      </w:r>
      <w:r>
        <w:rPr>
          <w:vertAlign w:val="superscript"/>
        </w:rPr>
        <w:t>3</w:t>
      </w:r>
      <w:r>
        <w:t>/d，新鲜水用量</w:t>
      </w:r>
      <w:r>
        <w:rPr>
          <w:rFonts w:hint="eastAsia"/>
        </w:rPr>
        <w:t>6</w:t>
      </w:r>
      <w:r>
        <w:t>m</w:t>
      </w:r>
      <w:r>
        <w:rPr>
          <w:vertAlign w:val="superscript"/>
        </w:rPr>
        <w:t>3</w:t>
      </w:r>
      <w:r>
        <w:t>/d，年补充新鲜用水量为</w:t>
      </w:r>
      <w:r>
        <w:rPr>
          <w:rFonts w:hint="eastAsia"/>
        </w:rPr>
        <w:t>540</w:t>
      </w:r>
      <w:r>
        <w:t>m</w:t>
      </w:r>
      <w:r>
        <w:rPr>
          <w:vertAlign w:val="superscript"/>
        </w:rPr>
        <w:t>3</w:t>
      </w:r>
      <w:r>
        <w:t>/a。水帘拟使用天然植物提取液水溶液，对项目猪舍恶臭气体进行吸附，除臭水溶液落入下方水池，经水泵提升继续进入水帘循环利用，仅补充新鲜用水，无外排废水。</w:t>
      </w:r>
    </w:p>
    <w:p>
      <w:pPr>
        <w:adjustRightInd/>
        <w:snapToGrid/>
        <w:ind w:firstLine="482"/>
        <w:rPr>
          <w:b/>
          <w:bCs/>
        </w:rPr>
      </w:pPr>
      <w:r>
        <w:rPr>
          <w:b/>
          <w:bCs/>
        </w:rPr>
        <w:t>（</w:t>
      </w:r>
      <w:r>
        <w:rPr>
          <w:rFonts w:hint="eastAsia"/>
          <w:b/>
          <w:bCs/>
          <w:lang w:val="en-US" w:eastAsia="zh-CN"/>
        </w:rPr>
        <w:t>7</w:t>
      </w:r>
      <w:r>
        <w:rPr>
          <w:b/>
          <w:bCs/>
        </w:rPr>
        <w:t>）车辆消毒清洗废水</w:t>
      </w:r>
    </w:p>
    <w:p>
      <w:pPr>
        <w:adjustRightInd/>
        <w:snapToGrid/>
        <w:ind w:firstLine="480"/>
      </w:pPr>
      <w:r>
        <w:t>根据用水核定，车辆消毒清洗用水量为</w:t>
      </w:r>
      <w:r>
        <w:rPr>
          <w:rFonts w:hint="eastAsia"/>
        </w:rPr>
        <w:t>1.75</w:t>
      </w:r>
      <w:r>
        <w:t>m</w:t>
      </w:r>
      <w:r>
        <w:rPr>
          <w:vertAlign w:val="superscript"/>
        </w:rPr>
        <w:t>3</w:t>
      </w:r>
      <w:r>
        <w:t>/d（</w:t>
      </w:r>
      <w:r>
        <w:rPr>
          <w:rFonts w:hint="eastAsia"/>
        </w:rPr>
        <w:t>638.75</w:t>
      </w:r>
      <w:r>
        <w:t>m</w:t>
      </w:r>
      <w:r>
        <w:rPr>
          <w:rFonts w:hint="eastAsia"/>
          <w:vertAlign w:val="superscript"/>
        </w:rPr>
        <w:t>3</w:t>
      </w:r>
      <w:r>
        <w:t>/a），排污系数0.8计，则废水量为</w:t>
      </w:r>
      <w:r>
        <w:rPr>
          <w:rFonts w:hint="eastAsia"/>
        </w:rPr>
        <w:t>1.4</w:t>
      </w:r>
      <w:r>
        <w:t>m</w:t>
      </w:r>
      <w:r>
        <w:rPr>
          <w:vertAlign w:val="superscript"/>
        </w:rPr>
        <w:t>3</w:t>
      </w:r>
      <w:r>
        <w:t>/d（</w:t>
      </w:r>
      <w:r>
        <w:rPr>
          <w:rFonts w:hint="eastAsia"/>
        </w:rPr>
        <w:t>511</w:t>
      </w:r>
      <w:r>
        <w:t>m</w:t>
      </w:r>
      <w:r>
        <w:rPr>
          <w:vertAlign w:val="superscript"/>
        </w:rPr>
        <w:t>3</w:t>
      </w:r>
      <w:r>
        <w:t>/a）</w:t>
      </w:r>
      <w:r>
        <w:rPr>
          <w:rFonts w:hint="eastAsia"/>
          <w:lang w:eastAsia="zh-CN"/>
        </w:rPr>
        <w:t>，</w:t>
      </w:r>
      <w:r>
        <w:rPr>
          <w:rFonts w:hint="eastAsia"/>
        </w:rPr>
        <w:t>排放至本项目场内</w:t>
      </w:r>
      <w:r>
        <w:rPr>
          <w:rFonts w:hint="eastAsia"/>
          <w:lang w:val="en-US" w:eastAsia="zh-CN"/>
        </w:rPr>
        <w:t>一体化污水处理设施</w:t>
      </w:r>
      <w:r>
        <w:t>。</w:t>
      </w:r>
    </w:p>
    <w:p>
      <w:pPr>
        <w:pStyle w:val="2"/>
        <w:adjustRightInd/>
        <w:snapToGrid/>
        <w:ind w:firstLine="482"/>
        <w:rPr>
          <w:b/>
          <w:bCs/>
        </w:rPr>
      </w:pPr>
      <w:r>
        <w:rPr>
          <w:rFonts w:hint="eastAsia"/>
          <w:b/>
          <w:bCs/>
        </w:rPr>
        <w:t>（</w:t>
      </w:r>
      <w:r>
        <w:rPr>
          <w:rFonts w:hint="eastAsia"/>
          <w:b/>
          <w:bCs/>
          <w:lang w:val="en-US" w:eastAsia="zh-CN"/>
        </w:rPr>
        <w:t>8</w:t>
      </w:r>
      <w:r>
        <w:rPr>
          <w:rFonts w:hint="eastAsia"/>
          <w:b/>
          <w:bCs/>
        </w:rPr>
        <w:t>）锅炉强排水</w:t>
      </w:r>
    </w:p>
    <w:p>
      <w:pPr>
        <w:pStyle w:val="2"/>
        <w:adjustRightInd/>
        <w:snapToGrid/>
        <w:ind w:firstLine="480"/>
      </w:pPr>
      <w:r>
        <w:t>根据锅炉工作原理，锅炉在加热提供蒸汽的过程中会有强制废水排出，其产生量按用水量的5%计算，即每天锅炉废水排放量为</w:t>
      </w:r>
      <w:r>
        <w:rPr>
          <w:rFonts w:hint="eastAsia"/>
        </w:rPr>
        <w:t>2</w:t>
      </w:r>
      <w:r>
        <w:t>m</w:t>
      </w:r>
      <w:r>
        <w:rPr>
          <w:vertAlign w:val="superscript"/>
        </w:rPr>
        <w:t>3</w:t>
      </w:r>
      <w:r>
        <w:t>/d，年排放</w:t>
      </w:r>
      <w:r>
        <w:rPr>
          <w:rFonts w:hint="eastAsia"/>
        </w:rPr>
        <w:t>500</w:t>
      </w:r>
      <w:r>
        <w:t>m</w:t>
      </w:r>
      <w:r>
        <w:rPr>
          <w:vertAlign w:val="superscript"/>
        </w:rPr>
        <w:t>3</w:t>
      </w:r>
      <w:r>
        <w:t>/a。锅炉强排水属清净下水，经1个容积为</w:t>
      </w:r>
      <w:r>
        <w:rPr>
          <w:rFonts w:hint="eastAsia"/>
        </w:rPr>
        <w:t>1</w:t>
      </w:r>
      <w:r>
        <w:t>m</w:t>
      </w:r>
      <w:r>
        <w:rPr>
          <w:vertAlign w:val="superscript"/>
        </w:rPr>
        <w:t>3</w:t>
      </w:r>
      <w:r>
        <w:t>的沉淀池进行收集后，直接回用于场地内洒水降尘。</w:t>
      </w:r>
    </w:p>
    <w:p>
      <w:pPr>
        <w:pStyle w:val="2"/>
        <w:adjustRightInd/>
        <w:snapToGrid/>
        <w:ind w:firstLine="480"/>
      </w:pPr>
      <w:r>
        <w:t>本项目拟设</w:t>
      </w:r>
      <w:r>
        <w:rPr>
          <w:rFonts w:hint="eastAsia"/>
        </w:rPr>
        <w:t>锅炉</w:t>
      </w:r>
      <w:r>
        <w:t>距离制粒机较近，蒸汽输送距离较短，故本次环评不再单独考虑管道损耗，即锅炉加热后供给</w:t>
      </w:r>
      <w:r>
        <w:rPr>
          <w:rFonts w:hint="eastAsia"/>
        </w:rPr>
        <w:t>制粒机</w:t>
      </w:r>
      <w:r>
        <w:t>生产的蒸汽量为</w:t>
      </w:r>
      <w:r>
        <w:rPr>
          <w:rFonts w:hint="eastAsia"/>
        </w:rPr>
        <w:t>38</w:t>
      </w:r>
      <w:r>
        <w:t>m</w:t>
      </w:r>
      <w:r>
        <w:rPr>
          <w:vertAlign w:val="superscript"/>
        </w:rPr>
        <w:t>3</w:t>
      </w:r>
      <w:r>
        <w:t>/d。</w:t>
      </w:r>
    </w:p>
    <w:p>
      <w:pPr>
        <w:pStyle w:val="2"/>
        <w:adjustRightInd/>
        <w:snapToGrid/>
        <w:ind w:firstLine="482"/>
        <w:rPr>
          <w:rFonts w:hint="eastAsia"/>
          <w:b/>
          <w:bCs/>
          <w:lang w:val="en-US" w:eastAsia="zh-CN"/>
        </w:rPr>
      </w:pPr>
      <w:r>
        <w:rPr>
          <w:rFonts w:hint="eastAsia"/>
          <w:b/>
          <w:bCs/>
          <w:lang w:val="en-US" w:eastAsia="zh-CN"/>
        </w:rPr>
        <w:t>（9）软水制备浓水</w:t>
      </w:r>
    </w:p>
    <w:p>
      <w:pPr>
        <w:pStyle w:val="2"/>
        <w:adjustRightInd/>
        <w:snapToGrid/>
        <w:ind w:firstLine="480"/>
        <w:rPr>
          <w:rFonts w:hint="eastAsia"/>
          <w:lang w:val="en-US" w:eastAsia="zh-CN"/>
        </w:rPr>
      </w:pPr>
      <w:r>
        <w:rPr>
          <w:rFonts w:hint="default"/>
          <w:lang w:val="en-US" w:eastAsia="zh-CN"/>
        </w:rPr>
        <w:t>项目设置1套软水制备系统，制备效率为80%，软水制备</w:t>
      </w:r>
      <w:r>
        <w:rPr>
          <w:rFonts w:hint="eastAsia"/>
          <w:lang w:val="en-US" w:eastAsia="zh-CN"/>
        </w:rPr>
        <w:t>能力为</w:t>
      </w:r>
      <w:r>
        <w:rPr>
          <w:rFonts w:hint="default"/>
          <w:lang w:val="en-US" w:eastAsia="zh-CN"/>
        </w:rPr>
        <w:t>50m</w:t>
      </w:r>
      <w:r>
        <w:rPr>
          <w:rFonts w:hint="default"/>
          <w:vertAlign w:val="superscript"/>
          <w:lang w:val="en-US" w:eastAsia="zh-CN"/>
        </w:rPr>
        <w:t>3</w:t>
      </w:r>
      <w:r>
        <w:rPr>
          <w:rFonts w:hint="default"/>
          <w:lang w:val="en-US" w:eastAsia="zh-CN"/>
        </w:rPr>
        <w:t>/d，</w:t>
      </w:r>
      <w:r>
        <w:rPr>
          <w:rFonts w:hint="eastAsia"/>
          <w:lang w:val="en-US" w:eastAsia="zh-CN"/>
        </w:rPr>
        <w:t>则软水制备浓水量为10</w:t>
      </w:r>
      <w:r>
        <w:rPr>
          <w:rFonts w:hint="default"/>
          <w:lang w:val="en-US" w:eastAsia="zh-CN"/>
        </w:rPr>
        <w:t>m</w:t>
      </w:r>
      <w:r>
        <w:rPr>
          <w:rFonts w:hint="default"/>
          <w:vertAlign w:val="superscript"/>
          <w:lang w:val="en-US" w:eastAsia="zh-CN"/>
        </w:rPr>
        <w:t>3</w:t>
      </w:r>
      <w:r>
        <w:rPr>
          <w:rFonts w:hint="default"/>
          <w:lang w:val="en-US" w:eastAsia="zh-CN"/>
        </w:rPr>
        <w:t>/d</w:t>
      </w:r>
      <w:r>
        <w:rPr>
          <w:rFonts w:hint="eastAsia"/>
          <w:lang w:val="en-US" w:eastAsia="zh-CN"/>
        </w:rPr>
        <w:t>，排放至本项目场内一体化污水处理设施。</w:t>
      </w:r>
    </w:p>
    <w:p>
      <w:pPr>
        <w:pStyle w:val="2"/>
        <w:adjustRightInd/>
        <w:snapToGrid/>
        <w:ind w:firstLine="482"/>
        <w:rPr>
          <w:rFonts w:hint="eastAsia"/>
          <w:b/>
          <w:bCs/>
          <w:lang w:val="en-US" w:eastAsia="zh-CN"/>
        </w:rPr>
      </w:pPr>
      <w:r>
        <w:rPr>
          <w:rFonts w:hint="eastAsia"/>
          <w:b/>
          <w:bCs/>
          <w:lang w:val="en-US" w:eastAsia="zh-CN"/>
        </w:rPr>
        <w:t>（10）喷淋废水（含冷凝水）</w:t>
      </w:r>
    </w:p>
    <w:p>
      <w:pPr>
        <w:pStyle w:val="2"/>
        <w:rPr>
          <w:rFonts w:hint="eastAsia"/>
          <w:vertAlign w:val="baseline"/>
          <w:lang w:val="en-US" w:eastAsia="zh-CN"/>
        </w:rPr>
      </w:pPr>
      <w:r>
        <w:rPr>
          <w:rFonts w:hint="default"/>
          <w:lang w:val="en-US" w:eastAsia="zh-CN"/>
        </w:rPr>
        <w:t>项目有机肥</w:t>
      </w:r>
      <w:r>
        <w:rPr>
          <w:rFonts w:hint="eastAsia"/>
          <w:lang w:val="en-US" w:eastAsia="zh-CN"/>
        </w:rPr>
        <w:t>发酵</w:t>
      </w:r>
      <w:r>
        <w:rPr>
          <w:rFonts w:hint="default"/>
          <w:lang w:val="en-US" w:eastAsia="zh-CN"/>
        </w:rPr>
        <w:t>过程中进料工序原料的含水率约为</w:t>
      </w:r>
      <w:r>
        <w:rPr>
          <w:rFonts w:hint="eastAsia"/>
          <w:lang w:val="en-US" w:eastAsia="zh-CN"/>
        </w:rPr>
        <w:t>65</w:t>
      </w:r>
      <w:r>
        <w:rPr>
          <w:rFonts w:hint="default"/>
          <w:lang w:val="en-US" w:eastAsia="zh-CN"/>
        </w:rPr>
        <w:t>%，经好氧发酵后含水率降至</w:t>
      </w:r>
      <w:r>
        <w:rPr>
          <w:rFonts w:hint="eastAsia"/>
          <w:lang w:val="en-US" w:eastAsia="zh-CN"/>
        </w:rPr>
        <w:t>28</w:t>
      </w:r>
      <w:r>
        <w:rPr>
          <w:rFonts w:hint="default"/>
          <w:lang w:val="en-US" w:eastAsia="zh-CN"/>
        </w:rPr>
        <w:t>%左右，粪便好氧发酵工序产生的水蒸气随粉尘、恶臭气体一起经集气管道收集后进入喷淋+生物滤</w:t>
      </w:r>
      <w:r>
        <w:rPr>
          <w:rFonts w:hint="eastAsia"/>
          <w:lang w:val="en-US" w:eastAsia="zh-CN"/>
        </w:rPr>
        <w:t>塔</w:t>
      </w:r>
      <w:r>
        <w:rPr>
          <w:rFonts w:hint="default"/>
          <w:lang w:val="en-US" w:eastAsia="zh-CN"/>
        </w:rPr>
        <w:t>系统进行处理。本项目</w:t>
      </w:r>
      <w:r>
        <w:rPr>
          <w:rFonts w:hint="eastAsia"/>
          <w:lang w:val="en-US" w:eastAsia="zh-CN"/>
        </w:rPr>
        <w:t>堆肥</w:t>
      </w:r>
      <w:r>
        <w:rPr>
          <w:rFonts w:hint="default"/>
          <w:lang w:val="en-US" w:eastAsia="zh-CN"/>
        </w:rPr>
        <w:t>物料总量约为1</w:t>
      </w:r>
      <w:r>
        <w:rPr>
          <w:rFonts w:hint="eastAsia"/>
          <w:lang w:val="en-US" w:eastAsia="zh-CN"/>
        </w:rPr>
        <w:t>85.143</w:t>
      </w:r>
      <w:r>
        <w:rPr>
          <w:rFonts w:hint="default"/>
          <w:lang w:val="en-US" w:eastAsia="zh-CN"/>
        </w:rPr>
        <w:t>t/d（</w:t>
      </w:r>
      <w:r>
        <w:rPr>
          <w:rFonts w:hint="eastAsia"/>
          <w:lang w:val="en-US" w:eastAsia="zh-CN"/>
        </w:rPr>
        <w:t>67577.195</w:t>
      </w:r>
      <w:r>
        <w:rPr>
          <w:rFonts w:hint="default"/>
          <w:lang w:val="en-US" w:eastAsia="zh-CN"/>
        </w:rPr>
        <w:t>t/a），在有机肥半成品生产过程中含水率由</w:t>
      </w:r>
      <w:r>
        <w:rPr>
          <w:rFonts w:hint="eastAsia"/>
          <w:lang w:val="en-US" w:eastAsia="zh-CN"/>
        </w:rPr>
        <w:t>65</w:t>
      </w:r>
      <w:r>
        <w:rPr>
          <w:rFonts w:hint="default"/>
          <w:lang w:val="en-US" w:eastAsia="zh-CN"/>
        </w:rPr>
        <w:t>%降至</w:t>
      </w:r>
      <w:r>
        <w:rPr>
          <w:rFonts w:hint="eastAsia"/>
          <w:lang w:val="en-US" w:eastAsia="zh-CN"/>
        </w:rPr>
        <w:t>28</w:t>
      </w:r>
      <w:r>
        <w:rPr>
          <w:rFonts w:hint="default"/>
          <w:lang w:val="en-US" w:eastAsia="zh-CN"/>
        </w:rPr>
        <w:t>%，则</w:t>
      </w:r>
      <w:r>
        <w:rPr>
          <w:rFonts w:hint="eastAsia"/>
          <w:lang w:val="en-US" w:eastAsia="zh-CN"/>
        </w:rPr>
        <w:t>水蒸气</w:t>
      </w:r>
      <w:r>
        <w:rPr>
          <w:rFonts w:hint="default"/>
          <w:lang w:val="en-US" w:eastAsia="zh-CN"/>
        </w:rPr>
        <w:t>产生量为</w:t>
      </w:r>
      <w:r>
        <w:rPr>
          <w:rFonts w:hint="eastAsia"/>
          <w:lang w:val="en-US" w:eastAsia="zh-CN"/>
        </w:rPr>
        <w:t>95.143</w:t>
      </w:r>
      <w:r>
        <w:rPr>
          <w:rFonts w:hint="default"/>
          <w:lang w:val="en-US" w:eastAsia="zh-CN"/>
        </w:rPr>
        <w:t>m</w:t>
      </w:r>
      <w:r>
        <w:rPr>
          <w:rFonts w:hint="default"/>
          <w:vertAlign w:val="superscript"/>
          <w:lang w:val="en-US" w:eastAsia="zh-CN"/>
        </w:rPr>
        <w:t>3</w:t>
      </w:r>
      <w:r>
        <w:rPr>
          <w:rFonts w:hint="default"/>
          <w:lang w:val="en-US" w:eastAsia="zh-CN"/>
        </w:rPr>
        <w:t>/d，</w:t>
      </w:r>
      <w:r>
        <w:rPr>
          <w:rFonts w:hint="eastAsia"/>
          <w:lang w:val="en-US" w:eastAsia="zh-CN"/>
        </w:rPr>
        <w:t>考虑到有机肥车间</w:t>
      </w:r>
      <w:r>
        <w:rPr>
          <w:rFonts w:hint="default"/>
          <w:lang w:val="en-US" w:eastAsia="zh-CN"/>
        </w:rPr>
        <w:t>废气收集效率为80%</w:t>
      </w:r>
      <w:r>
        <w:rPr>
          <w:rFonts w:hint="eastAsia"/>
          <w:lang w:val="en-US" w:eastAsia="zh-CN"/>
        </w:rPr>
        <w:t>，则冷凝水的产生量约为76.11</w:t>
      </w:r>
      <w:r>
        <w:rPr>
          <w:rFonts w:hint="default"/>
          <w:lang w:val="en-US" w:eastAsia="zh-CN"/>
        </w:rPr>
        <w:t>m</w:t>
      </w:r>
      <w:r>
        <w:rPr>
          <w:rFonts w:hint="default"/>
          <w:vertAlign w:val="superscript"/>
          <w:lang w:val="en-US" w:eastAsia="zh-CN"/>
        </w:rPr>
        <w:t>3</w:t>
      </w:r>
      <w:r>
        <w:rPr>
          <w:rFonts w:hint="default"/>
          <w:lang w:val="en-US" w:eastAsia="zh-CN"/>
        </w:rPr>
        <w:t>/d</w:t>
      </w:r>
      <w:r>
        <w:rPr>
          <w:rFonts w:hint="eastAsia"/>
          <w:lang w:val="en-US" w:eastAsia="zh-CN"/>
        </w:rPr>
        <w:t>。结合生物滤池结构，冷凝水将进入</w:t>
      </w:r>
      <w:r>
        <w:rPr>
          <w:rFonts w:hint="default"/>
          <w:lang w:val="en-US" w:eastAsia="zh-CN"/>
        </w:rPr>
        <w:t>喷淋+生物滤</w:t>
      </w:r>
      <w:r>
        <w:rPr>
          <w:rFonts w:hint="eastAsia"/>
          <w:lang w:val="en-US" w:eastAsia="zh-CN"/>
        </w:rPr>
        <w:t>塔加湿装置作为喷淋补水。根据设计资料生物滤池加湿装置喷淋水每月将全部更换一次，两套生物滤池加湿装置水箱容积共计约30</w:t>
      </w:r>
      <w:r>
        <w:rPr>
          <w:rFonts w:hint="default"/>
          <w:lang w:val="en-US" w:eastAsia="zh-CN"/>
        </w:rPr>
        <w:t>m</w:t>
      </w:r>
      <w:r>
        <w:rPr>
          <w:rFonts w:hint="default"/>
          <w:vertAlign w:val="superscript"/>
          <w:lang w:val="en-US" w:eastAsia="zh-CN"/>
        </w:rPr>
        <w:t>3</w:t>
      </w:r>
      <w:r>
        <w:rPr>
          <w:rFonts w:hint="eastAsia"/>
          <w:lang w:val="en-US" w:eastAsia="zh-CN"/>
        </w:rPr>
        <w:t>，故喷淋废水产生量约为360</w:t>
      </w:r>
      <w:r>
        <w:rPr>
          <w:rFonts w:hint="default"/>
          <w:lang w:val="en-US" w:eastAsia="zh-CN"/>
        </w:rPr>
        <w:t>m</w:t>
      </w:r>
      <w:r>
        <w:rPr>
          <w:rFonts w:hint="default"/>
          <w:vertAlign w:val="superscript"/>
          <w:lang w:val="en-US" w:eastAsia="zh-CN"/>
        </w:rPr>
        <w:t>3</w:t>
      </w:r>
      <w:r>
        <w:rPr>
          <w:rFonts w:hint="eastAsia"/>
          <w:vertAlign w:val="baseline"/>
          <w:lang w:val="en-US" w:eastAsia="zh-CN"/>
        </w:rPr>
        <w:t>/a。排入尿液发酵池用于液态肥生产。</w:t>
      </w:r>
    </w:p>
    <w:p>
      <w:pPr>
        <w:pStyle w:val="2"/>
        <w:rPr>
          <w:rFonts w:hint="default"/>
          <w:vertAlign w:val="baseline"/>
          <w:lang w:val="en-US" w:eastAsia="zh-CN"/>
        </w:rPr>
      </w:pPr>
    </w:p>
    <w:p>
      <w:pPr>
        <w:pStyle w:val="2"/>
        <w:rPr>
          <w:rFonts w:hint="default"/>
          <w:color w:val="FF0000"/>
          <w:vertAlign w:val="baseline"/>
          <w:lang w:val="en-US" w:eastAsia="zh-CN"/>
        </w:rPr>
      </w:pPr>
      <w:r>
        <w:rPr>
          <w:rFonts w:hint="default"/>
          <w:color w:val="FF0000"/>
          <w:vertAlign w:val="baseline"/>
          <w:lang w:val="en-US" w:eastAsia="zh-CN"/>
        </w:rPr>
        <w:t>食堂废水经隔油后与生活污水经预处理池处理后进入一体化生活污水处理设备处理后用于厂区绿化。一体化设备生化污泥需定期排放，与预处理池污泥统一收集后转运至有机肥车间用于有机肥生产。</w:t>
      </w:r>
    </w:p>
    <w:p>
      <w:pPr>
        <w:pStyle w:val="2"/>
        <w:rPr>
          <w:rFonts w:hint="default"/>
          <w:color w:val="FF0000"/>
          <w:vertAlign w:val="baseline"/>
          <w:lang w:val="en-US" w:eastAsia="zh-CN"/>
        </w:rPr>
      </w:pPr>
      <w:r>
        <w:rPr>
          <w:rFonts w:hint="default"/>
          <w:color w:val="FF0000"/>
          <w:vertAlign w:val="baseline"/>
          <w:lang w:val="en-US" w:eastAsia="zh-CN"/>
        </w:rPr>
        <w:t>车辆冲洗废水、软水系统废水由管道收集后直接进入一体化生活污水处理设备，与经预处理池处理后的生活污水一并处理。</w:t>
      </w:r>
    </w:p>
    <w:p>
      <w:pPr>
        <w:pStyle w:val="2"/>
        <w:rPr>
          <w:rFonts w:hint="eastAsia"/>
          <w:vertAlign w:val="baseline"/>
          <w:lang w:val="en-US" w:eastAsia="zh-CN"/>
        </w:rPr>
      </w:pPr>
      <w:r>
        <w:rPr>
          <w:rFonts w:hint="default"/>
          <w:vertAlign w:val="baseline"/>
          <w:lang w:val="en-US" w:eastAsia="zh-CN"/>
        </w:rPr>
        <w:t>养殖废水（猪尿、食槽清洗废水、猪舍及赶猪通道清洗废水、分娩设备清洗废水、喷淋废水（含冷凝水））产生量约17</w:t>
      </w:r>
      <w:r>
        <w:rPr>
          <w:rFonts w:hint="eastAsia"/>
          <w:vertAlign w:val="baseline"/>
          <w:lang w:val="en-US" w:eastAsia="zh-CN"/>
        </w:rPr>
        <w:t>3</w:t>
      </w:r>
      <w:r>
        <w:rPr>
          <w:rFonts w:hint="default"/>
          <w:vertAlign w:val="baseline"/>
          <w:lang w:val="en-US" w:eastAsia="zh-CN"/>
        </w:rPr>
        <w:t>.95m</w:t>
      </w:r>
      <w:r>
        <w:rPr>
          <w:rFonts w:hint="default"/>
          <w:vertAlign w:val="superscript"/>
          <w:lang w:val="en-US" w:eastAsia="zh-CN"/>
        </w:rPr>
        <w:t>3</w:t>
      </w:r>
      <w:r>
        <w:rPr>
          <w:rFonts w:hint="default"/>
          <w:vertAlign w:val="baseline"/>
          <w:lang w:val="en-US" w:eastAsia="zh-CN"/>
        </w:rPr>
        <w:t>/d（夏季20</w:t>
      </w:r>
      <w:r>
        <w:rPr>
          <w:rFonts w:hint="eastAsia"/>
          <w:vertAlign w:val="baseline"/>
          <w:lang w:val="en-US" w:eastAsia="zh-CN"/>
        </w:rPr>
        <w:t>3</w:t>
      </w:r>
      <w:r>
        <w:rPr>
          <w:rFonts w:hint="default"/>
          <w:vertAlign w:val="baseline"/>
          <w:lang w:val="en-US" w:eastAsia="zh-CN"/>
        </w:rPr>
        <w:t>.056m</w:t>
      </w:r>
      <w:r>
        <w:rPr>
          <w:rFonts w:hint="default"/>
          <w:vertAlign w:val="superscript"/>
          <w:lang w:val="en-US" w:eastAsia="zh-CN"/>
        </w:rPr>
        <w:t>3</w:t>
      </w:r>
      <w:r>
        <w:rPr>
          <w:rFonts w:hint="default"/>
          <w:vertAlign w:val="baseline"/>
          <w:lang w:val="en-US" w:eastAsia="zh-CN"/>
        </w:rPr>
        <w:t>/d）</w:t>
      </w:r>
      <w:r>
        <w:rPr>
          <w:rFonts w:hint="eastAsia"/>
          <w:vertAlign w:val="baseline"/>
          <w:lang w:val="en-US" w:eastAsia="zh-CN"/>
        </w:rPr>
        <w:t>，其中固态有机肥生产过程中用量为67.2m</w:t>
      </w:r>
      <w:r>
        <w:rPr>
          <w:rFonts w:hint="eastAsia"/>
          <w:vertAlign w:val="superscript"/>
          <w:lang w:val="en-US" w:eastAsia="zh-CN"/>
        </w:rPr>
        <w:t>3</w:t>
      </w:r>
      <w:r>
        <w:rPr>
          <w:rFonts w:hint="eastAsia"/>
          <w:vertAlign w:val="baseline"/>
          <w:lang w:val="en-US" w:eastAsia="zh-CN"/>
        </w:rPr>
        <w:t>/d，其余部分约106.75m</w:t>
      </w:r>
      <w:r>
        <w:rPr>
          <w:rFonts w:hint="eastAsia"/>
          <w:vertAlign w:val="superscript"/>
          <w:lang w:val="en-US" w:eastAsia="zh-CN"/>
        </w:rPr>
        <w:t>3</w:t>
      </w:r>
      <w:r>
        <w:rPr>
          <w:rFonts w:hint="eastAsia"/>
          <w:vertAlign w:val="baseline"/>
          <w:lang w:val="en-US" w:eastAsia="zh-CN"/>
        </w:rPr>
        <w:t>/d（夏季135.856m</w:t>
      </w:r>
      <w:r>
        <w:rPr>
          <w:rFonts w:hint="eastAsia"/>
          <w:vertAlign w:val="superscript"/>
          <w:lang w:val="en-US" w:eastAsia="zh-CN"/>
        </w:rPr>
        <w:t>3</w:t>
      </w:r>
      <w:r>
        <w:rPr>
          <w:rFonts w:hint="eastAsia"/>
          <w:vertAlign w:val="baseline"/>
          <w:lang w:val="en-US" w:eastAsia="zh-CN"/>
        </w:rPr>
        <w:t>/d）经液态肥生产加工成液态肥灌装外售。</w:t>
      </w:r>
    </w:p>
    <w:p>
      <w:pPr>
        <w:pStyle w:val="2"/>
        <w:rPr>
          <w:rFonts w:hint="default"/>
          <w:vertAlign w:val="baseline"/>
          <w:lang w:val="en-US" w:eastAsia="zh-CN"/>
        </w:rPr>
      </w:pPr>
      <w:r>
        <w:rPr>
          <w:rFonts w:hint="eastAsia"/>
          <w:vertAlign w:val="baseline"/>
          <w:lang w:val="en-US" w:eastAsia="zh-CN"/>
        </w:rPr>
        <w:t>故本次环评建议固态有机肥发酵槽发酵能力至少应在220t/d（1540t/7d）以上，固态有机肥生产线生产能力应在220t/d以上；液态肥生产线生产能力应在140t/d以上。</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3"/>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59DBA5A8"/>
    <w:multiLevelType w:val="multilevel"/>
    <w:tmpl w:val="59DBA5A8"/>
    <w:lvl w:ilvl="0" w:tentative="0">
      <w:start w:val="1"/>
      <w:numFmt w:val="chineseCountingThousand"/>
      <w:pStyle w:val="14"/>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pStyle w:val="4"/>
      <w:isLgl/>
      <w:suff w:val="space"/>
      <w:lvlText w:val="%1.%2 "/>
      <w:lvlJc w:val="left"/>
      <w:pPr>
        <w:ind w:left="1134" w:hanging="567"/>
      </w:pPr>
      <w:rPr>
        <w:rFonts w:hint="default"/>
        <w:b w:val="0"/>
        <w:i w:val="0"/>
        <w:sz w:val="30"/>
      </w:rPr>
    </w:lvl>
    <w:lvl w:ilvl="2" w:tentative="0">
      <w:start w:val="1"/>
      <w:numFmt w:val="decimal"/>
      <w:pStyle w:val="5"/>
      <w:isLgl/>
      <w:suff w:val="space"/>
      <w:lvlText w:val="%1.%2.%3 "/>
      <w:lvlJc w:val="left"/>
      <w:pPr>
        <w:ind w:left="1418" w:hanging="709"/>
      </w:pPr>
      <w:rPr>
        <w:rFonts w:hint="default"/>
        <w:b w:val="0"/>
        <w:i w:val="0"/>
        <w:sz w:val="28"/>
        <w:szCs w:val="28"/>
      </w:rPr>
    </w:lvl>
    <w:lvl w:ilvl="3" w:tentative="0">
      <w:start w:val="1"/>
      <w:numFmt w:val="decimal"/>
      <w:pStyle w:val="12"/>
      <w:suff w:val="nothing"/>
      <w:lvlText w:val="%4、"/>
      <w:lvlJc w:val="left"/>
      <w:pPr>
        <w:ind w:left="851" w:hanging="851"/>
      </w:pPr>
      <w:rPr>
        <w:rFonts w:hint="default"/>
        <w:b/>
        <w:i w:val="0"/>
        <w:sz w:val="28"/>
      </w:rPr>
    </w:lvl>
    <w:lvl w:ilvl="4" w:tentative="0">
      <w:start w:val="1"/>
      <w:numFmt w:val="decimal"/>
      <w:pStyle w:val="6"/>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zMzA3NTg5ZjU2MmI2OWUxYmQ1MWM2ZTk1M2JkYTAifQ=="/>
  </w:docVars>
  <w:rsids>
    <w:rsidRoot w:val="7587069D"/>
    <w:rsid w:val="0E40210E"/>
    <w:rsid w:val="2F1555EE"/>
    <w:rsid w:val="3E70715A"/>
    <w:rsid w:val="7587069D"/>
    <w:rsid w:val="7AF84AE7"/>
    <w:rsid w:val="7C560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abs>
        <w:tab w:val="left" w:pos="2988"/>
      </w:tabs>
      <w:adjustRightInd w:val="0"/>
      <w:snapToGrid w:val="0"/>
      <w:spacing w:line="360" w:lineRule="auto"/>
      <w:ind w:firstLine="200" w:firstLineChars="200"/>
      <w:jc w:val="both"/>
      <w:textAlignment w:val="baseline"/>
    </w:pPr>
    <w:rPr>
      <w:rFonts w:ascii="Times New Roman" w:hAnsi="Times New Roman" w:eastAsia="宋体" w:cs="Times New Roman"/>
      <w:kern w:val="24"/>
      <w:sz w:val="24"/>
      <w:szCs w:val="24"/>
      <w:lang w:val="en-US" w:eastAsia="zh-CN" w:bidi="ar-SA"/>
    </w:rPr>
  </w:style>
  <w:style w:type="paragraph" w:styleId="3">
    <w:name w:val="heading 1"/>
    <w:basedOn w:val="1"/>
    <w:next w:val="1"/>
    <w:link w:val="11"/>
    <w:autoRedefine/>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4">
    <w:name w:val="heading 2"/>
    <w:basedOn w:val="1"/>
    <w:next w:val="1"/>
    <w:link w:val="13"/>
    <w:semiHidden/>
    <w:unhideWhenUsed/>
    <w:qFormat/>
    <w:uiPriority w:val="0"/>
    <w:pPr>
      <w:numPr>
        <w:ilvl w:val="1"/>
        <w:numId w:val="2"/>
      </w:numPr>
      <w:snapToGrid/>
      <w:spacing w:before="100" w:beforeLines="100"/>
      <w:ind w:left="1134" w:hanging="567" w:firstLineChars="0"/>
      <w:jc w:val="left"/>
      <w:outlineLvl w:val="1"/>
    </w:pPr>
    <w:rPr>
      <w:rFonts w:ascii="Times New Roman" w:hAnsi="Times New Roman" w:eastAsia="黑体"/>
      <w:b/>
      <w:sz w:val="30"/>
      <w:szCs w:val="30"/>
    </w:rPr>
  </w:style>
  <w:style w:type="paragraph" w:styleId="5">
    <w:name w:val="heading 3"/>
    <w:basedOn w:val="1"/>
    <w:next w:val="1"/>
    <w:link w:val="15"/>
    <w:autoRedefine/>
    <w:semiHidden/>
    <w:unhideWhenUsed/>
    <w:qFormat/>
    <w:uiPriority w:val="0"/>
    <w:pPr>
      <w:numPr>
        <w:ilvl w:val="2"/>
        <w:numId w:val="2"/>
      </w:numPr>
      <w:snapToGrid/>
      <w:ind w:left="0" w:firstLine="0" w:firstLineChars="0"/>
      <w:jc w:val="both"/>
      <w:outlineLvl w:val="2"/>
    </w:pPr>
    <w:rPr>
      <w:rFonts w:ascii="黑体" w:hAnsi="黑体" w:eastAsia="黑体"/>
      <w:sz w:val="28"/>
    </w:rPr>
  </w:style>
  <w:style w:type="paragraph" w:styleId="6">
    <w:name w:val="heading 5"/>
    <w:basedOn w:val="1"/>
    <w:next w:val="1"/>
    <w:autoRedefine/>
    <w:semiHidden/>
    <w:unhideWhenUsed/>
    <w:qFormat/>
    <w:uiPriority w:val="0"/>
    <w:pPr>
      <w:keepNext/>
      <w:keepLines/>
      <w:numPr>
        <w:ilvl w:val="4"/>
        <w:numId w:val="2"/>
      </w:numPr>
      <w:spacing w:before="280" w:beforeLines="0" w:beforeAutospacing="0" w:after="290" w:afterLines="0" w:afterAutospacing="0" w:line="372" w:lineRule="auto"/>
      <w:ind w:left="2552" w:hanging="992" w:firstLineChars="0"/>
      <w:outlineLvl w:val="4"/>
    </w:pPr>
    <w:rPr>
      <w:b/>
      <w:sz w:val="28"/>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customStyle="1" w:styleId="2">
    <w:name w:val="+正文"/>
    <w:basedOn w:val="1"/>
    <w:autoRedefine/>
    <w:qFormat/>
    <w:uiPriority w:val="0"/>
    <w:rPr>
      <w:szCs w:val="28"/>
    </w:rPr>
  </w:style>
  <w:style w:type="paragraph" w:styleId="7">
    <w:name w:val="Body Text"/>
    <w:basedOn w:val="1"/>
    <w:autoRedefine/>
    <w:qFormat/>
    <w:uiPriority w:val="0"/>
    <w:pPr>
      <w:spacing w:after="120" w:afterLines="0" w:afterAutospacing="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标题 1 字符"/>
    <w:link w:val="3"/>
    <w:autoRedefine/>
    <w:qFormat/>
    <w:uiPriority w:val="0"/>
    <w:rPr>
      <w:rFonts w:ascii="Times New Roman" w:hAnsi="Times New Roman" w:eastAsia="宋体"/>
      <w:b/>
      <w:kern w:val="2"/>
      <w:sz w:val="36"/>
      <w:szCs w:val="36"/>
    </w:rPr>
  </w:style>
  <w:style w:type="paragraph" w:customStyle="1" w:styleId="12">
    <w:name w:val="样式7.5.4.1"/>
    <w:basedOn w:val="1"/>
    <w:autoRedefine/>
    <w:qFormat/>
    <w:uiPriority w:val="0"/>
    <w:pPr>
      <w:numPr>
        <w:ilvl w:val="3"/>
        <w:numId w:val="2"/>
      </w:numPr>
      <w:ind w:left="851" w:hanging="851" w:firstLineChars="0"/>
    </w:pPr>
  </w:style>
  <w:style w:type="character" w:customStyle="1" w:styleId="13">
    <w:name w:val="标题 2 字符"/>
    <w:link w:val="4"/>
    <w:autoRedefine/>
    <w:qFormat/>
    <w:uiPriority w:val="0"/>
    <w:rPr>
      <w:rFonts w:ascii="Times New Roman" w:hAnsi="Times New Roman" w:eastAsia="黑体"/>
      <w:b/>
      <w:kern w:val="2"/>
      <w:sz w:val="30"/>
      <w:szCs w:val="30"/>
    </w:rPr>
  </w:style>
  <w:style w:type="paragraph" w:customStyle="1" w:styleId="14">
    <w:name w:val="表13.5－1"/>
    <w:basedOn w:val="1"/>
    <w:autoRedefine/>
    <w:qFormat/>
    <w:uiPriority w:val="0"/>
    <w:pPr>
      <w:numPr>
        <w:ilvl w:val="0"/>
        <w:numId w:val="2"/>
      </w:numPr>
      <w:ind w:left="851" w:hanging="425" w:firstLineChars="0"/>
    </w:pPr>
  </w:style>
  <w:style w:type="character" w:customStyle="1" w:styleId="15">
    <w:name w:val="标题 3 字符"/>
    <w:link w:val="5"/>
    <w:autoRedefine/>
    <w:qFormat/>
    <w:uiPriority w:val="0"/>
    <w:rPr>
      <w:rFonts w:ascii="黑体" w:hAnsi="黑体" w:eastAsia="黑体"/>
      <w:kern w:val="2"/>
      <w:sz w:val="28"/>
      <w:szCs w:val="28"/>
    </w:rPr>
  </w:style>
  <w:style w:type="paragraph" w:customStyle="1" w:styleId="16">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2024-01-23T11:45:00Z</dcterms:created>
  <dc:creator>花-young</dc:creator>
  <cp:lastModifiedBy>花-young</cp:lastModifiedBy>
  <dcterms:modified xsi:type="dcterms:W3CDTF">2024-01-23T12:06:52Z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0BDB2E1152E4451B9902C43F4FE40F29_11</vt:lpwstr>
  </property>
</Properties>
</file>