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石棉县50万头生猪养殖基地及配套设施建设项目（生猪养殖场子项目一期）土壤环境损害鉴定评估技术服务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5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6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4"/>
    <w:autoRedefine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  <w:style w:type="paragraph" w:styleId="7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8">
    <w:name w:val="Body Text Indent"/>
    <w:basedOn w:val="1"/>
    <w:next w:val="9"/>
    <w:autoRedefine/>
    <w:qFormat/>
    <w:uiPriority w:val="99"/>
    <w:pPr>
      <w:ind w:firstLine="630"/>
    </w:pPr>
    <w:rPr>
      <w:sz w:val="32"/>
      <w:szCs w:val="20"/>
    </w:rPr>
  </w:style>
  <w:style w:type="paragraph" w:styleId="9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10">
    <w:name w:val="Body Text First Indent 2"/>
    <w:basedOn w:val="8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2023-12-14T05:54:14Z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4C5C1FB1F401492A8C82ED33DB4F5D5E_13</vt:lpwstr>
  </property>
</Properties>
</file>